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EF47CB" w:rsidRDefault="00A61738" w:rsidP="004737E4">
      <w:pPr>
        <w:pStyle w:val="SCT"/>
        <w:jc w:val="left"/>
        <w:rPr>
          <w:lang w:val="fr-CA"/>
        </w:rPr>
      </w:pPr>
      <w:bookmarkStart w:id="0" w:name="OLE_LINK1"/>
      <w:bookmarkStart w:id="1" w:name="OLE_LINK2"/>
      <w:r>
        <w:rPr>
          <w:rFonts w:eastAsia="Arial"/>
          <w:lang w:val="fr-CA"/>
        </w:rPr>
        <w:t xml:space="preserve">SECTION 08 42 29 – </w:t>
      </w:r>
      <w:bookmarkEnd w:id="0"/>
      <w:bookmarkEnd w:id="1"/>
      <w:r>
        <w:rPr>
          <w:rFonts w:eastAsia="Arial"/>
          <w:lang w:val="fr-CA"/>
        </w:rPr>
        <w:t>ENTRÉES À PORTES COULISSANTES</w:t>
      </w:r>
    </w:p>
    <w:p w:rsidR="00FA6DA6" w:rsidRPr="00EF47CB" w:rsidRDefault="00A61738" w:rsidP="00717634">
      <w:pPr>
        <w:pStyle w:val="PRT"/>
        <w:tabs>
          <w:tab w:val="left" w:pos="5700"/>
        </w:tabs>
        <w:rPr>
          <w:lang w:val="fr-CA"/>
        </w:rPr>
      </w:pPr>
      <w:r>
        <w:rPr>
          <w:rFonts w:eastAsia="Arial"/>
          <w:lang w:val="fr-CA"/>
        </w:rPr>
        <w:t>PARTIE 1 GÉNÉRALITÉS</w:t>
      </w:r>
      <w:r>
        <w:rPr>
          <w:rFonts w:eastAsia="Arial"/>
          <w:lang w:val="fr-CA"/>
        </w:rPr>
        <w:tab/>
      </w:r>
    </w:p>
    <w:p w:rsidR="00FA6DA6" w:rsidRPr="00433CFB" w:rsidRDefault="00A61738" w:rsidP="00FA6DA6">
      <w:pPr>
        <w:pStyle w:val="ART"/>
        <w:tabs>
          <w:tab w:val="num" w:pos="864"/>
        </w:tabs>
        <w:spacing w:before="480"/>
      </w:pPr>
      <w:r>
        <w:rPr>
          <w:rFonts w:eastAsia="Arial"/>
          <w:lang w:val="fr-CA"/>
        </w:rPr>
        <w:t>DOCUMENTS CONNEXES</w:t>
      </w:r>
    </w:p>
    <w:p w:rsidR="00FA6DA6" w:rsidRPr="00433CFB" w:rsidRDefault="00A61738"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433CFB" w:rsidRDefault="00A61738" w:rsidP="00FA6DA6">
      <w:pPr>
        <w:pStyle w:val="ART"/>
        <w:tabs>
          <w:tab w:val="num" w:pos="864"/>
        </w:tabs>
        <w:spacing w:before="480"/>
      </w:pPr>
      <w:r>
        <w:rPr>
          <w:rFonts w:eastAsia="Arial"/>
          <w:lang w:val="fr-CA"/>
        </w:rPr>
        <w:t>RÉSUMÉ</w:t>
      </w:r>
    </w:p>
    <w:p w:rsidR="00FA6DA6" w:rsidRPr="00433CFB" w:rsidRDefault="00A61738" w:rsidP="00FA6DA6">
      <w:pPr>
        <w:pStyle w:val="PR1"/>
        <w:tabs>
          <w:tab w:val="num" w:pos="864"/>
        </w:tabs>
      </w:pPr>
      <w:r>
        <w:rPr>
          <w:rFonts w:eastAsia="Arial"/>
          <w:lang w:val="fr-CA"/>
        </w:rPr>
        <w:t xml:space="preserve"> Cette section comprend les types d’entrées automatiques suivants :</w:t>
      </w:r>
    </w:p>
    <w:p w:rsidR="00FA6DA6" w:rsidRPr="00433CFB" w:rsidRDefault="00A61738" w:rsidP="00FA6DA6">
      <w:pPr>
        <w:pStyle w:val="PR2"/>
        <w:tabs>
          <w:tab w:val="num" w:pos="1440"/>
        </w:tabs>
      </w:pPr>
      <w:r>
        <w:rPr>
          <w:rFonts w:eastAsia="Arial"/>
          <w:lang w:val="fr-CA"/>
        </w:rPr>
        <w:t>Extérieures et intérieures, entrées automatiques coulissantes simples et doubles.</w:t>
      </w:r>
    </w:p>
    <w:p w:rsidR="00FA6DA6" w:rsidRPr="00433CFB" w:rsidRDefault="00A61738" w:rsidP="00FA6DA6">
      <w:pPr>
        <w:pStyle w:val="PR1"/>
        <w:tabs>
          <w:tab w:val="num" w:pos="864"/>
        </w:tabs>
      </w:pPr>
      <w:r>
        <w:rPr>
          <w:rFonts w:eastAsia="Arial"/>
          <w:lang w:val="fr-CA"/>
        </w:rPr>
        <w:t>Sections connexes :</w:t>
      </w:r>
    </w:p>
    <w:p w:rsidR="00FA6DA6" w:rsidRPr="00433CFB" w:rsidRDefault="00A61738" w:rsidP="00FA6DA6">
      <w:pPr>
        <w:pStyle w:val="PR2"/>
        <w:tabs>
          <w:tab w:val="num" w:pos="1440"/>
        </w:tabs>
      </w:pPr>
      <w:r>
        <w:rPr>
          <w:rFonts w:eastAsia="Arial"/>
          <w:lang w:val="fr-CA"/>
        </w:rPr>
        <w:t>Sections de la Division 7 pour le calfeutrage dans la mesure non spécifiée dans cette section.</w:t>
      </w:r>
    </w:p>
    <w:p w:rsidR="00FA6DA6" w:rsidRPr="00433CFB" w:rsidRDefault="00A61738" w:rsidP="00FA6DA6">
      <w:pPr>
        <w:pStyle w:val="PR2"/>
        <w:tabs>
          <w:tab w:val="num" w:pos="1440"/>
        </w:tabs>
      </w:pPr>
      <w:r>
        <w:rPr>
          <w:rFonts w:eastAsia="Arial"/>
          <w:lang w:val="fr-CA"/>
        </w:rPr>
        <w:t xml:space="preserve">Sections de la Division 08 pour les « Entrées et vitrines avec cadre en aluminium » pour les entrées meublées et installées séparément dans la Section de la Division 8. </w:t>
      </w:r>
    </w:p>
    <w:p w:rsidR="00FA6DA6" w:rsidRPr="00433CFB" w:rsidRDefault="00A61738" w:rsidP="00FA6DA6">
      <w:pPr>
        <w:pStyle w:val="PR2"/>
        <w:tabs>
          <w:tab w:val="num" w:pos="1440"/>
        </w:tabs>
      </w:pPr>
      <w:r>
        <w:rPr>
          <w:rFonts w:eastAsia="Arial"/>
          <w:lang w:val="fr-CA"/>
        </w:rPr>
        <w:t>Division 8 Section « Quincaillerie de porte » pour le matériel dans la mesure non spécifiée dans cette section.</w:t>
      </w:r>
    </w:p>
    <w:p w:rsidR="00FA6DA6" w:rsidRPr="00433CFB" w:rsidRDefault="00A61738" w:rsidP="00FA6DA6">
      <w:pPr>
        <w:pStyle w:val="PR2"/>
        <w:tabs>
          <w:tab w:val="num" w:pos="1440"/>
        </w:tabs>
      </w:pPr>
      <w:r>
        <w:rPr>
          <w:rFonts w:eastAsia="Arial"/>
          <w:lang w:val="fr-CA"/>
        </w:rPr>
        <w:t>Division 08 Section « Vitrage » pour les matériaux et les exigences d’installation du vitrage pour les entrées automatiques.</w:t>
      </w:r>
    </w:p>
    <w:p w:rsidR="00FA6DA6" w:rsidRPr="00433CFB" w:rsidRDefault="00A61738"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BB4698" w:rsidRDefault="00A61738" w:rsidP="00BB4698">
      <w:pPr>
        <w:pStyle w:val="ART"/>
      </w:pPr>
      <w:r>
        <w:rPr>
          <w:rFonts w:eastAsia="Arial"/>
          <w:lang w:val="fr-CA"/>
        </w:rPr>
        <w:t>RÉFÉRENCES</w:t>
      </w:r>
    </w:p>
    <w:p w:rsidR="00BB4698" w:rsidRDefault="00A61738" w:rsidP="00BB4698">
      <w:pPr>
        <w:pStyle w:val="PR1"/>
      </w:pPr>
      <w:r>
        <w:rPr>
          <w:rFonts w:eastAsia="Arial"/>
          <w:lang w:val="fr-CA"/>
        </w:rPr>
        <w:t xml:space="preserve">Références :  Se reporter à l’année de la version adoptée par l’autorité compétente.   </w:t>
      </w:r>
    </w:p>
    <w:p w:rsidR="00BB4698" w:rsidRDefault="00A61738" w:rsidP="00BB4698">
      <w:pPr>
        <w:pStyle w:val="PR2"/>
      </w:pPr>
      <w:r>
        <w:rPr>
          <w:rFonts w:eastAsia="Arial"/>
          <w:lang w:val="fr-CA"/>
        </w:rPr>
        <w:t>ANSI A117.1 – Bâtiments et installations accessibles et utilisables.</w:t>
      </w:r>
    </w:p>
    <w:p w:rsidR="00BB4698" w:rsidRDefault="00A61738" w:rsidP="00BB4698">
      <w:pPr>
        <w:pStyle w:val="PR2"/>
      </w:pPr>
      <w:r>
        <w:rPr>
          <w:rFonts w:eastAsia="Arial"/>
          <w:lang w:val="fr-CA"/>
        </w:rPr>
        <w:t>ICC/IBC - Code international du bâtiment.</w:t>
      </w:r>
    </w:p>
    <w:p w:rsidR="00BB4698" w:rsidRDefault="00A61738" w:rsidP="00BB4698">
      <w:pPr>
        <w:pStyle w:val="PR2"/>
      </w:pPr>
      <w:r>
        <w:rPr>
          <w:rFonts w:eastAsia="Arial"/>
          <w:lang w:val="fr-CA"/>
        </w:rPr>
        <w:t>CUL – Approuvé pour une utilisation au Canada.</w:t>
      </w:r>
    </w:p>
    <w:p w:rsidR="00BB4698" w:rsidRDefault="00A61738" w:rsidP="00BB4698">
      <w:pPr>
        <w:pStyle w:val="PR2"/>
      </w:pPr>
      <w:r>
        <w:rPr>
          <w:rFonts w:eastAsia="Arial"/>
          <w:lang w:val="fr-CA"/>
        </w:rPr>
        <w:t>NFPA 70 – Code national de l’électricité.</w:t>
      </w:r>
    </w:p>
    <w:p w:rsidR="00BB4698" w:rsidRDefault="00A61738" w:rsidP="00BB4698">
      <w:pPr>
        <w:pStyle w:val="PR2"/>
      </w:pPr>
      <w:r>
        <w:rPr>
          <w:rFonts w:eastAsia="Arial"/>
          <w:lang w:val="fr-CA"/>
        </w:rPr>
        <w:t>NFPA 101 - Code de sécurité des personnes.</w:t>
      </w:r>
    </w:p>
    <w:p w:rsidR="00BB4698" w:rsidRDefault="00A61738" w:rsidP="00BB4698">
      <w:pPr>
        <w:pStyle w:val="PR1"/>
      </w:pPr>
      <w:r w:rsidRPr="00EF47CB">
        <w:rPr>
          <w:rFonts w:eastAsia="Arial"/>
          <w:lang w:val="en-US"/>
        </w:rPr>
        <w:t>American National Standards Institute (ANSI) / Builders Hardware Manufacturers Association (BHMA).</w:t>
      </w:r>
    </w:p>
    <w:p w:rsidR="00BB4698" w:rsidRDefault="00A61738" w:rsidP="00BB4698">
      <w:pPr>
        <w:pStyle w:val="PR2"/>
      </w:pPr>
      <w:r w:rsidRPr="00EF47CB">
        <w:rPr>
          <w:rFonts w:eastAsia="Arial"/>
          <w:lang w:val="en-US"/>
        </w:rPr>
        <w:t>ANSI/BHMA A156.10 (</w:t>
      </w:r>
      <w:proofErr w:type="spellStart"/>
      <w:r w:rsidRPr="00EF47CB">
        <w:rPr>
          <w:rFonts w:eastAsia="Arial"/>
          <w:lang w:val="en-US"/>
        </w:rPr>
        <w:t>année</w:t>
      </w:r>
      <w:proofErr w:type="spellEnd"/>
      <w:r w:rsidRPr="00EF47CB">
        <w:rPr>
          <w:rFonts w:eastAsia="Arial"/>
          <w:lang w:val="en-US"/>
        </w:rPr>
        <w:t xml:space="preserve"> </w:t>
      </w:r>
      <w:proofErr w:type="spellStart"/>
      <w:r w:rsidRPr="00EF47CB">
        <w:rPr>
          <w:rFonts w:eastAsia="Arial"/>
          <w:lang w:val="en-US"/>
        </w:rPr>
        <w:t>en</w:t>
      </w:r>
      <w:proofErr w:type="spellEnd"/>
      <w:r w:rsidRPr="00EF47CB">
        <w:rPr>
          <w:rFonts w:eastAsia="Arial"/>
          <w:lang w:val="en-US"/>
        </w:rPr>
        <w:t xml:space="preserve"> </w:t>
      </w:r>
      <w:proofErr w:type="spellStart"/>
      <w:r w:rsidRPr="00EF47CB">
        <w:rPr>
          <w:rFonts w:eastAsia="Arial"/>
          <w:lang w:val="en-US"/>
        </w:rPr>
        <w:t>cours</w:t>
      </w:r>
      <w:proofErr w:type="spellEnd"/>
      <w:r w:rsidRPr="00EF47CB">
        <w:rPr>
          <w:rFonts w:eastAsia="Arial"/>
          <w:lang w:val="en-US"/>
        </w:rPr>
        <w:t>) American National Standard for Power Operated Pedestrian Doors.</w:t>
      </w:r>
    </w:p>
    <w:p w:rsidR="00BB4698" w:rsidRDefault="00A61738" w:rsidP="00BB4698">
      <w:pPr>
        <w:pStyle w:val="PR2"/>
      </w:pPr>
      <w:r w:rsidRPr="00EF47CB">
        <w:rPr>
          <w:rFonts w:eastAsia="Arial"/>
          <w:lang w:val="en-US"/>
        </w:rPr>
        <w:t>ANSI Z97.1 Standards for Safety Glazing Material Used in Buildings.</w:t>
      </w:r>
    </w:p>
    <w:p w:rsidR="00BB4698" w:rsidRDefault="00A61738" w:rsidP="00BB4698">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BB4698" w:rsidRDefault="00A61738" w:rsidP="00BB4698">
      <w:pPr>
        <w:pStyle w:val="PR2"/>
      </w:pPr>
      <w:r w:rsidRPr="00EF47CB">
        <w:rPr>
          <w:rFonts w:eastAsia="Arial"/>
          <w:lang w:val="en-US"/>
        </w:rPr>
        <w:t>UL 325 Standard for Safety for Door, Drapery, Gate, Louver and window Operators and Systems.</w:t>
      </w:r>
    </w:p>
    <w:p w:rsidR="00BB4698" w:rsidRDefault="00A61738" w:rsidP="00BB4698">
      <w:pPr>
        <w:pStyle w:val="PR1"/>
      </w:pPr>
      <w:r w:rsidRPr="00EF47CB">
        <w:rPr>
          <w:rFonts w:eastAsia="Arial"/>
          <w:lang w:val="en-US"/>
        </w:rPr>
        <w:t>American Association of Automatic Door Manufacturers (AAADM).</w:t>
      </w:r>
    </w:p>
    <w:p w:rsidR="00BB4698" w:rsidRDefault="00A61738" w:rsidP="00BB4698">
      <w:pPr>
        <w:pStyle w:val="PR1"/>
      </w:pPr>
      <w:r w:rsidRPr="00EF47CB">
        <w:rPr>
          <w:rFonts w:eastAsia="Arial"/>
          <w:lang w:val="en-US"/>
        </w:rPr>
        <w:lastRenderedPageBreak/>
        <w:t>American Society for Testing and Materials (ASTM).</w:t>
      </w:r>
    </w:p>
    <w:p w:rsidR="00BB4698" w:rsidRDefault="00A61738" w:rsidP="00BB4698">
      <w:pPr>
        <w:pStyle w:val="PR2"/>
      </w:pPr>
      <w:r w:rsidRPr="00EF47CB">
        <w:rPr>
          <w:rFonts w:eastAsia="Arial"/>
          <w:lang w:val="en-US"/>
        </w:rPr>
        <w:t>ASTM B221 Standard Specification for Aluminum and Aluminum Alloy Extruded Bars, Rods, Wire, Profiles and Tubes.</w:t>
      </w:r>
    </w:p>
    <w:p w:rsidR="00BB4698" w:rsidRDefault="00A61738" w:rsidP="00BB4698">
      <w:pPr>
        <w:pStyle w:val="PR2"/>
      </w:pPr>
      <w:r w:rsidRPr="00EF47CB">
        <w:rPr>
          <w:rFonts w:eastAsia="Arial"/>
          <w:lang w:val="en-US"/>
        </w:rPr>
        <w:t>ASTM B209 Standard Specification for Aluminum and Aluminum Alloy Sheet and Plate.</w:t>
      </w:r>
    </w:p>
    <w:p w:rsidR="00BB4698" w:rsidRDefault="00A61738" w:rsidP="00BB4698">
      <w:pPr>
        <w:pStyle w:val="PR1"/>
      </w:pPr>
      <w:r w:rsidRPr="00EF47CB">
        <w:rPr>
          <w:rFonts w:eastAsia="Arial"/>
          <w:lang w:val="en-US"/>
        </w:rPr>
        <w:t>American Architectural Manufacturers Association (AAMA).</w:t>
      </w:r>
    </w:p>
    <w:p w:rsidR="00BB4698" w:rsidRDefault="00A61738" w:rsidP="00BB4698">
      <w:pPr>
        <w:pStyle w:val="PR2"/>
      </w:pPr>
      <w:r>
        <w:rPr>
          <w:rFonts w:eastAsia="Arial"/>
          <w:lang w:val="fr-CA"/>
        </w:rPr>
        <w:t>AAMA 611 Spécification volontaire pour l’aluminium anodisé architectural.</w:t>
      </w:r>
    </w:p>
    <w:p w:rsidR="00BB4698" w:rsidRDefault="00A61738" w:rsidP="00BB4698">
      <w:pPr>
        <w:pStyle w:val="PR1"/>
      </w:pPr>
      <w:r w:rsidRPr="00EF47CB">
        <w:rPr>
          <w:rFonts w:eastAsia="Arial"/>
          <w:lang w:val="en-US"/>
        </w:rPr>
        <w:t>National Association of Architectural Metal Manufacturers (NAAMM).</w:t>
      </w:r>
    </w:p>
    <w:p w:rsidR="00BB4698" w:rsidRDefault="00A61738" w:rsidP="00BB4698">
      <w:pPr>
        <w:pStyle w:val="PR2"/>
      </w:pPr>
      <w:r>
        <w:rPr>
          <w:rFonts w:eastAsia="Arial"/>
          <w:lang w:val="fr-CA"/>
        </w:rPr>
        <w:t>Manuel des finis métalliques pour les produits métalliques architecturaux.</w:t>
      </w:r>
    </w:p>
    <w:p w:rsidR="00BB4698" w:rsidRDefault="00A61738" w:rsidP="00BB4698">
      <w:pPr>
        <w:pStyle w:val="PR1"/>
      </w:pPr>
      <w:r>
        <w:rPr>
          <w:rFonts w:eastAsia="Arial"/>
          <w:lang w:val="fr-CA"/>
        </w:rPr>
        <w:t>International Code Council (IBC).</w:t>
      </w:r>
    </w:p>
    <w:p w:rsidR="00BB4698" w:rsidRDefault="00A61738" w:rsidP="00BB4698">
      <w:pPr>
        <w:pStyle w:val="PR2"/>
      </w:pPr>
      <w:r>
        <w:rPr>
          <w:rFonts w:eastAsia="Arial"/>
          <w:lang w:val="fr-CA"/>
        </w:rPr>
        <w:t>IBC :  Code international du bâtiment.</w:t>
      </w:r>
    </w:p>
    <w:p w:rsidR="00BB4698" w:rsidRPr="00433CFB" w:rsidRDefault="00A61738" w:rsidP="00BB4698">
      <w:pPr>
        <w:pStyle w:val="ART"/>
        <w:tabs>
          <w:tab w:val="num" w:pos="864"/>
        </w:tabs>
        <w:spacing w:before="480"/>
      </w:pPr>
      <w:r>
        <w:rPr>
          <w:rFonts w:eastAsia="Arial"/>
          <w:lang w:val="fr-CA"/>
        </w:rPr>
        <w:t>DÉFINITIONS</w:t>
      </w:r>
    </w:p>
    <w:p w:rsidR="00BB4698" w:rsidRPr="00433CFB" w:rsidRDefault="00A61738" w:rsidP="00BB4698">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BB4698" w:rsidRPr="00433CFB" w:rsidRDefault="00A61738" w:rsidP="00BB4698">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BB4698" w:rsidRPr="00433CFB" w:rsidRDefault="00A61738" w:rsidP="00BB4698">
      <w:pPr>
        <w:pStyle w:val="PR1"/>
        <w:tabs>
          <w:tab w:val="num" w:pos="864"/>
        </w:tabs>
      </w:pPr>
      <w:r w:rsidRPr="00EF47CB">
        <w:rPr>
          <w:rFonts w:eastAsia="Arial"/>
          <w:lang w:val="en-US"/>
        </w:rPr>
        <w:t>AAADM : American Association of Automatic Door Manufacturers.</w:t>
      </w:r>
    </w:p>
    <w:p w:rsidR="00BB4698" w:rsidRPr="00433CFB" w:rsidRDefault="00A61738" w:rsidP="00BB4698">
      <w:pPr>
        <w:pStyle w:val="PR1"/>
        <w:tabs>
          <w:tab w:val="num" w:pos="864"/>
        </w:tabs>
      </w:pPr>
      <w:r>
        <w:rPr>
          <w:rFonts w:eastAsia="Arial"/>
          <w:lang w:val="fr-CA"/>
        </w:rPr>
        <w:t>Pour connaître la terminologie des portes automatiques, consultez la norme ANSI/A156.10 pour les définitions des termes.</w:t>
      </w:r>
    </w:p>
    <w:p w:rsidR="00FA6DA6" w:rsidRPr="00433CFB" w:rsidRDefault="00A61738" w:rsidP="00FA6DA6">
      <w:pPr>
        <w:pStyle w:val="ART"/>
        <w:tabs>
          <w:tab w:val="num" w:pos="864"/>
        </w:tabs>
        <w:spacing w:before="480"/>
      </w:pPr>
      <w:r>
        <w:rPr>
          <w:rFonts w:eastAsia="Arial"/>
          <w:lang w:val="fr-CA"/>
        </w:rPr>
        <w:t>EXIGENCES DE RENDEMENT</w:t>
      </w:r>
    </w:p>
    <w:p w:rsidR="00FA6DA6" w:rsidRPr="00433CFB" w:rsidRDefault="00A61738"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Default="00A61738" w:rsidP="00FA6DA6">
      <w:pPr>
        <w:pStyle w:val="PR1"/>
        <w:tabs>
          <w:tab w:val="num" w:pos="864"/>
        </w:tabs>
      </w:pPr>
      <w:r>
        <w:rPr>
          <w:rFonts w:eastAsia="Arial"/>
          <w:lang w:val="fr-CA"/>
        </w:rPr>
        <w:t>Conformité :</w:t>
      </w:r>
    </w:p>
    <w:p w:rsidR="00FA6DA6" w:rsidRPr="00C973A0" w:rsidRDefault="00A61738" w:rsidP="00FA6DA6">
      <w:pPr>
        <w:pStyle w:val="PR2"/>
        <w:tabs>
          <w:tab w:val="num" w:pos="1440"/>
        </w:tabs>
        <w:rPr>
          <w:rFonts w:cs="Arial"/>
        </w:rPr>
      </w:pPr>
      <w:r>
        <w:rPr>
          <w:rFonts w:eastAsia="Arial" w:cs="Arial"/>
          <w:lang w:val="fr-CA"/>
        </w:rPr>
        <w:t>Code international du bâtiment ICC/IBC</w:t>
      </w:r>
    </w:p>
    <w:p w:rsidR="00FA6DA6" w:rsidRPr="00C973A0" w:rsidRDefault="00A61738" w:rsidP="00FA6DA6">
      <w:pPr>
        <w:pStyle w:val="PR2"/>
        <w:tabs>
          <w:tab w:val="num" w:pos="1440"/>
        </w:tabs>
        <w:rPr>
          <w:rFonts w:cs="Arial"/>
        </w:rPr>
      </w:pPr>
      <w:r w:rsidRPr="00EF47CB">
        <w:rPr>
          <w:rFonts w:eastAsia="Arial" w:cs="Arial"/>
          <w:lang w:val="en-US"/>
        </w:rPr>
        <w:t>ANSI/BHMA A 156.10 American National Standard for Power Operated Doors Pedestrian Doors.</w:t>
      </w:r>
    </w:p>
    <w:p w:rsidR="00FA6DA6" w:rsidRPr="00C973A0" w:rsidRDefault="00A61738" w:rsidP="00FA6DA6">
      <w:pPr>
        <w:pStyle w:val="PR2"/>
        <w:tabs>
          <w:tab w:val="num" w:pos="1440"/>
        </w:tabs>
        <w:rPr>
          <w:rFonts w:cs="Arial"/>
        </w:rPr>
      </w:pPr>
      <w:r>
        <w:rPr>
          <w:rFonts w:eastAsia="Arial" w:cs="Arial"/>
          <w:lang w:val="fr-CA"/>
        </w:rPr>
        <w:t>Homologué UL 325</w:t>
      </w:r>
    </w:p>
    <w:p w:rsidR="00FA6DA6" w:rsidRPr="00C973A0" w:rsidRDefault="00A61738" w:rsidP="00FA6DA6">
      <w:pPr>
        <w:pStyle w:val="PR2"/>
        <w:tabs>
          <w:tab w:val="num" w:pos="1440"/>
        </w:tabs>
        <w:rPr>
          <w:rFonts w:cs="Arial"/>
        </w:rPr>
      </w:pPr>
      <w:r>
        <w:rPr>
          <w:rFonts w:eastAsia="Arial" w:cs="Arial"/>
          <w:lang w:val="fr-CA"/>
        </w:rPr>
        <w:t>NFPA 70 Code national de l’électricité.</w:t>
      </w:r>
    </w:p>
    <w:p w:rsidR="00FA6DA6" w:rsidRPr="00C973A0" w:rsidRDefault="00A61738" w:rsidP="00FA6DA6">
      <w:pPr>
        <w:pStyle w:val="PR2"/>
        <w:tabs>
          <w:tab w:val="num" w:pos="1440"/>
        </w:tabs>
        <w:rPr>
          <w:rFonts w:cs="Arial"/>
        </w:rPr>
      </w:pPr>
      <w:r>
        <w:rPr>
          <w:rFonts w:eastAsia="Arial" w:cs="Arial"/>
          <w:lang w:val="fr-CA"/>
        </w:rPr>
        <w:t>NFPA 101 Code de sécurité des personnes</w:t>
      </w:r>
    </w:p>
    <w:p w:rsidR="00FA6DA6" w:rsidRPr="00C973A0" w:rsidRDefault="00A61738" w:rsidP="00FA6DA6">
      <w:pPr>
        <w:pStyle w:val="PR2"/>
        <w:tabs>
          <w:tab w:val="num" w:pos="1440"/>
        </w:tabs>
        <w:rPr>
          <w:rFonts w:cs="Arial"/>
        </w:rPr>
      </w:pPr>
      <w:r>
        <w:rPr>
          <w:rFonts w:eastAsia="Arial" w:cs="Arial"/>
          <w:lang w:val="fr-CA"/>
        </w:rPr>
        <w:t>Approuvé CUL pour une utilisation au Canada</w:t>
      </w:r>
    </w:p>
    <w:p w:rsidR="00FA6DA6" w:rsidRPr="00433CFB" w:rsidRDefault="00A61738" w:rsidP="00FA6DA6">
      <w:pPr>
        <w:pStyle w:val="PR1"/>
        <w:tabs>
          <w:tab w:val="num" w:pos="864"/>
        </w:tabs>
      </w:pPr>
      <w:r>
        <w:rPr>
          <w:rFonts w:eastAsia="Arial"/>
          <w:lang w:val="fr-CA"/>
        </w:rPr>
        <w:t>L’équipement de porte automatique s’adapte à la circulation piétonnière moyenne à forte.</w:t>
      </w:r>
    </w:p>
    <w:p w:rsidR="00FA6DA6" w:rsidRPr="00433CFB" w:rsidRDefault="00A61738" w:rsidP="00FA6DA6">
      <w:pPr>
        <w:pStyle w:val="PR1"/>
        <w:tabs>
          <w:tab w:val="num" w:pos="864"/>
        </w:tabs>
      </w:pPr>
      <w:r>
        <w:rPr>
          <w:rFonts w:eastAsia="Arial"/>
          <w:lang w:val="fr-CA"/>
        </w:rPr>
        <w:t>L’équipement de porte automatique peut supporter les poids suivants pour une porte à battant actif :</w:t>
      </w:r>
    </w:p>
    <w:p w:rsidR="00FA6DA6" w:rsidRPr="00433CFB" w:rsidRDefault="00A61738" w:rsidP="00FA6DA6">
      <w:pPr>
        <w:pStyle w:val="PR2"/>
        <w:tabs>
          <w:tab w:val="num" w:pos="1440"/>
        </w:tabs>
      </w:pPr>
      <w:r>
        <w:rPr>
          <w:rFonts w:eastAsia="Arial"/>
          <w:lang w:val="fr-CA"/>
        </w:rPr>
        <w:lastRenderedPageBreak/>
        <w:t>Portes à deux parties : 220 lb (100 kg) par battant d’ouverture en urgence actif.</w:t>
      </w:r>
    </w:p>
    <w:p w:rsidR="00FA6DA6" w:rsidRPr="00433CFB" w:rsidRDefault="00A61738" w:rsidP="00FA6DA6">
      <w:pPr>
        <w:pStyle w:val="PR2"/>
        <w:tabs>
          <w:tab w:val="num" w:pos="1440"/>
        </w:tabs>
      </w:pPr>
      <w:r>
        <w:rPr>
          <w:rFonts w:eastAsia="Arial"/>
          <w:lang w:val="fr-CA"/>
        </w:rPr>
        <w:t>Portes coulissantes simples 220 lb (100 kg) par battant d’ouverture en urgence actif.</w:t>
      </w:r>
    </w:p>
    <w:p w:rsidR="00FA6DA6" w:rsidRPr="00433CFB" w:rsidRDefault="00A61738" w:rsidP="00FA6DA6">
      <w:pPr>
        <w:pStyle w:val="PR1"/>
        <w:tabs>
          <w:tab w:val="num" w:pos="864"/>
        </w:tabs>
      </w:pPr>
      <w:r>
        <w:rPr>
          <w:rFonts w:eastAsia="Arial"/>
          <w:lang w:val="fr-CA"/>
        </w:rPr>
        <w:t>Plage de température de fonctionnement : Capacité de température ambiante de moins 37 à plus 55 °C (moins 35 à plus 130 °F).</w:t>
      </w:r>
    </w:p>
    <w:p w:rsidR="00FA6DA6" w:rsidRPr="00433CFB" w:rsidRDefault="00A61738" w:rsidP="00FA6DA6">
      <w:pPr>
        <w:pStyle w:val="PR1"/>
        <w:tabs>
          <w:tab w:val="num" w:pos="864"/>
        </w:tabs>
      </w:pPr>
      <w:r>
        <w:rPr>
          <w:rFonts w:eastAsia="Arial"/>
          <w:lang w:val="fr-CA"/>
        </w:rPr>
        <w:t>Exigences relatives à la force de piégeage :</w:t>
      </w:r>
    </w:p>
    <w:p w:rsidR="00FA6DA6" w:rsidRPr="00433CFB" w:rsidRDefault="00A61738" w:rsidP="0098514D">
      <w:pPr>
        <w:pStyle w:val="PR2"/>
        <w:tabs>
          <w:tab w:val="num" w:pos="1440"/>
        </w:tabs>
      </w:pPr>
      <w:r>
        <w:rPr>
          <w:rFonts w:eastAsia="Arial"/>
          <w:lang w:val="fr-CA"/>
        </w:rPr>
        <w:t xml:space="preserve">Portes coulissantes à commande électrique : Un maximum de </w:t>
      </w:r>
      <w:r>
        <w:rPr>
          <w:rFonts w:eastAsia="Arial"/>
          <w:color w:val="000000"/>
          <w:lang w:val="fr-CA"/>
        </w:rPr>
        <w:t xml:space="preserve">30 </w:t>
      </w:r>
      <w:proofErr w:type="spellStart"/>
      <w:r>
        <w:rPr>
          <w:rFonts w:eastAsia="Arial"/>
          <w:color w:val="000000"/>
          <w:lang w:val="fr-CA"/>
        </w:rPr>
        <w:t>lbf</w:t>
      </w:r>
      <w:proofErr w:type="spellEnd"/>
      <w:r>
        <w:rPr>
          <w:rFonts w:eastAsia="Arial"/>
          <w:color w:val="000000"/>
          <w:lang w:val="fr-CA"/>
        </w:rPr>
        <w:t xml:space="preserve"> (133 N</w:t>
      </w:r>
      <w:r>
        <w:rPr>
          <w:rFonts w:eastAsia="Arial"/>
          <w:lang w:val="fr-CA"/>
        </w:rPr>
        <w:t>) requis pour empêcher la fermeture de la porte arrêtée.</w:t>
      </w:r>
    </w:p>
    <w:p w:rsidR="00FA6DA6" w:rsidRPr="00433CFB" w:rsidRDefault="00A61738" w:rsidP="00FA6DA6">
      <w:pPr>
        <w:pStyle w:val="PR2"/>
        <w:tabs>
          <w:tab w:val="num" w:pos="1440"/>
        </w:tabs>
      </w:pPr>
      <w:r>
        <w:rPr>
          <w:rFonts w:eastAsia="Arial"/>
          <w:lang w:val="fr-CA"/>
        </w:rPr>
        <w:t xml:space="preserve">Les portes coulissantes fournies avec un dispositif de décrochage ne doivent pas nécessiter une application à plus de 50 </w:t>
      </w:r>
      <w:proofErr w:type="spellStart"/>
      <w:r>
        <w:rPr>
          <w:rFonts w:eastAsia="Arial"/>
          <w:lang w:val="fr-CA"/>
        </w:rPr>
        <w:t>lbf</w:t>
      </w:r>
      <w:proofErr w:type="spellEnd"/>
      <w:r>
        <w:rPr>
          <w:rFonts w:eastAsia="Arial"/>
          <w:lang w:val="fr-CA"/>
        </w:rPr>
        <w:t xml:space="preserve"> (222 N) à 1 pouce (25 mm) du bord avant du montant de verrouillage pour que le panneau d’ouverture en urgence s’ouvre.</w:t>
      </w:r>
    </w:p>
    <w:p w:rsidR="00FA6DA6" w:rsidRPr="00433CFB" w:rsidRDefault="00A61738" w:rsidP="00FA6DA6">
      <w:pPr>
        <w:pStyle w:val="ART"/>
        <w:tabs>
          <w:tab w:val="num" w:pos="864"/>
        </w:tabs>
        <w:spacing w:before="480"/>
      </w:pPr>
      <w:r>
        <w:rPr>
          <w:rFonts w:eastAsia="Arial"/>
          <w:lang w:val="fr-CA"/>
        </w:rPr>
        <w:t>SOUMISSIONS</w:t>
      </w:r>
    </w:p>
    <w:p w:rsidR="00FA6DA6" w:rsidRPr="00433CFB" w:rsidRDefault="00A61738" w:rsidP="00FA6DA6">
      <w:pPr>
        <w:pStyle w:val="PR1"/>
        <w:tabs>
          <w:tab w:val="num" w:pos="864"/>
        </w:tabs>
      </w:pPr>
      <w:r>
        <w:rPr>
          <w:rFonts w:eastAsia="Arial"/>
          <w:lang w:val="fr-CA"/>
        </w:rPr>
        <w:t>Se conformer à la Division 01 – Procédures de soumission.</w:t>
      </w:r>
    </w:p>
    <w:p w:rsidR="00FA6DA6" w:rsidRPr="00433CFB" w:rsidRDefault="00A61738"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433CFB" w:rsidRDefault="00A61738"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433CFB" w:rsidRDefault="00A61738" w:rsidP="00FA6DA6">
      <w:pPr>
        <w:pStyle w:val="PR1"/>
        <w:tabs>
          <w:tab w:val="num" w:pos="864"/>
        </w:tabs>
      </w:pPr>
      <w:r>
        <w:rPr>
          <w:rFonts w:eastAsia="Arial"/>
          <w:lang w:val="fr-CA"/>
        </w:rPr>
        <w:t>Échantillons : échantillons de couleur de fini exposée au besoin.</w:t>
      </w:r>
    </w:p>
    <w:p w:rsidR="00FA6DA6" w:rsidRPr="00433CFB" w:rsidRDefault="00A61738"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433CFB" w:rsidRDefault="00A61738"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433CFB" w:rsidRDefault="00A61738" w:rsidP="00FA6DA6">
      <w:pPr>
        <w:pStyle w:val="PR1"/>
        <w:tabs>
          <w:tab w:val="num" w:pos="864"/>
        </w:tabs>
      </w:pPr>
      <w:r>
        <w:rPr>
          <w:rFonts w:eastAsia="Arial"/>
          <w:lang w:val="fr-CA"/>
        </w:rPr>
        <w:t xml:space="preserve">Rapports sur le terrain des fabricants : Soumettre les rapports du fabricant sur le terrain provenant d’un technicien certifié AAADM pour l’inspection et l’approbation des portes pour la conformité à la norme ANSI/BHMA A 156.10 après la fin de l’installation. </w:t>
      </w:r>
    </w:p>
    <w:p w:rsidR="00FA6DA6" w:rsidRPr="00433CFB" w:rsidRDefault="00A61738"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433CFB" w:rsidRDefault="00A61738" w:rsidP="00FA6DA6">
      <w:pPr>
        <w:pStyle w:val="ART"/>
        <w:tabs>
          <w:tab w:val="num" w:pos="864"/>
        </w:tabs>
        <w:spacing w:before="480"/>
      </w:pPr>
      <w:r>
        <w:rPr>
          <w:rFonts w:eastAsia="Arial"/>
          <w:lang w:val="fr-CA"/>
        </w:rPr>
        <w:t>ASSURANCE DE LA QUALITÉ</w:t>
      </w:r>
    </w:p>
    <w:p w:rsidR="009A5140" w:rsidRPr="001B650A" w:rsidRDefault="00A61738" w:rsidP="009A5140">
      <w:pPr>
        <w:pStyle w:val="PR1"/>
        <w:tabs>
          <w:tab w:val="num" w:pos="864"/>
        </w:tabs>
      </w:pPr>
      <w:r>
        <w:rPr>
          <w:rFonts w:eastAsia="Arial"/>
          <w:lang w:val="fr-CA"/>
        </w:rPr>
        <w:t xml:space="preserve">Qualifications du fabricant : Au moins 10 ans d’expérience documentée dans la fabrication d’équipement de porte semblable à celle indiquée dans la présente spécification avec une </w:t>
      </w:r>
      <w:r>
        <w:rPr>
          <w:rFonts w:eastAsia="Arial"/>
          <w:lang w:val="fr-CA"/>
        </w:rPr>
        <w:lastRenderedPageBreak/>
        <w:t>expérience éprouvée en matière de performance de service. Un fabricant avec un certificat d’entreprise délivré par l’AAADM.</w:t>
      </w:r>
    </w:p>
    <w:p w:rsidR="009A5140" w:rsidRPr="001B650A" w:rsidRDefault="00A61738" w:rsidP="009A5140">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Le représentant autorisé du fabricant qui est formé et approuvé pour l’installation et l’entretien des unités par AAADM requis pour ce projet. </w:t>
      </w:r>
    </w:p>
    <w:p w:rsidR="00FA6DA6" w:rsidRPr="00433CFB" w:rsidRDefault="00A61738" w:rsidP="00FA6DA6">
      <w:pPr>
        <w:pStyle w:val="PR1"/>
        <w:tabs>
          <w:tab w:val="num" w:pos="864"/>
        </w:tabs>
      </w:pPr>
      <w:r>
        <w:rPr>
          <w:rFonts w:eastAsia="Arial"/>
          <w:lang w:val="fr-CA"/>
        </w:rPr>
        <w:t>Limites de la source pour les entrées automatiques : Obtenir des entrées automatiques d’une source unique auprès d’un seul fabricant.</w:t>
      </w:r>
    </w:p>
    <w:p w:rsidR="00FA6DA6" w:rsidRPr="00433CFB" w:rsidRDefault="00A61738"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433CFB" w:rsidRDefault="00A61738" w:rsidP="00FA6DA6">
      <w:pPr>
        <w:pStyle w:val="PR1"/>
        <w:tabs>
          <w:tab w:val="num" w:pos="864"/>
        </w:tabs>
      </w:pPr>
      <w:r>
        <w:rPr>
          <w:rFonts w:eastAsia="Arial"/>
          <w:lang w:val="fr-CA"/>
        </w:rPr>
        <w:t>Porte à commande électrique standard : ANSI/A156.10 Année en cours.</w:t>
      </w:r>
    </w:p>
    <w:p w:rsidR="00FA6DA6" w:rsidRPr="00433CFB" w:rsidRDefault="00A61738"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433CFB" w:rsidRDefault="00A61738" w:rsidP="00FA6DA6">
      <w:pPr>
        <w:pStyle w:val="PR1"/>
        <w:tabs>
          <w:tab w:val="num" w:pos="864"/>
        </w:tabs>
      </w:pPr>
      <w:r>
        <w:rPr>
          <w:rFonts w:eastAsia="Arial"/>
          <w:lang w:val="fr-CA"/>
        </w:rPr>
        <w:t>Conférence pré-installation : Tenir une conférence sur le site ou à un emplacement mutuellement convenu, au besoin.</w:t>
      </w:r>
    </w:p>
    <w:p w:rsidR="00FA6DA6" w:rsidRPr="00433CFB" w:rsidRDefault="00A61738" w:rsidP="00FA6DA6">
      <w:pPr>
        <w:pStyle w:val="ART"/>
        <w:tabs>
          <w:tab w:val="num" w:pos="864"/>
        </w:tabs>
        <w:spacing w:before="480"/>
      </w:pPr>
      <w:r>
        <w:rPr>
          <w:rFonts w:eastAsia="Arial"/>
          <w:lang w:val="fr-CA"/>
        </w:rPr>
        <w:t>CONDITIONS DU PROJET</w:t>
      </w:r>
    </w:p>
    <w:p w:rsidR="00FA6DA6" w:rsidRPr="00433CFB" w:rsidRDefault="00A61738"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433CFB" w:rsidRDefault="00A61738" w:rsidP="00FA6DA6">
      <w:pPr>
        <w:pStyle w:val="ART"/>
        <w:tabs>
          <w:tab w:val="num" w:pos="864"/>
        </w:tabs>
        <w:spacing w:before="480"/>
      </w:pPr>
      <w:r>
        <w:rPr>
          <w:rFonts w:eastAsia="Arial"/>
          <w:lang w:val="fr-CA"/>
        </w:rPr>
        <w:t>HARMONISATION</w:t>
      </w:r>
    </w:p>
    <w:p w:rsidR="00FA6DA6" w:rsidRPr="00433CFB" w:rsidRDefault="00A61738" w:rsidP="00FA6DA6">
      <w:pPr>
        <w:pStyle w:val="PR1"/>
        <w:tabs>
          <w:tab w:val="num" w:pos="864"/>
        </w:tabs>
      </w:pPr>
      <w:r>
        <w:rPr>
          <w:rFonts w:eastAsia="Arial"/>
          <w:lang w:val="fr-CA"/>
        </w:rPr>
        <w:t>Coordonner les tailles et les emplacements des renfoncements dans les planchers en béton pour les rails coulissants encastrés qui contrôlent les entrées automatiques. Les exigences en matière de béton, de renforts et de coffrage sont spécifiées dans la Division 03.</w:t>
      </w:r>
    </w:p>
    <w:p w:rsidR="00FA6DA6" w:rsidRPr="00433CFB" w:rsidRDefault="00A61738" w:rsidP="00FA6DA6">
      <w:pPr>
        <w:pStyle w:val="PR1"/>
        <w:tabs>
          <w:tab w:val="num" w:pos="864"/>
        </w:tabs>
      </w:pPr>
      <w:r>
        <w:rPr>
          <w:rFonts w:eastAsia="Arial"/>
          <w:lang w:val="fr-CA"/>
        </w:rPr>
        <w:t>Coordonner la quincaillerie avec les portes, les cadres et les travaux connexes pour assurer une taille, une épaisseur, une main, une fonction et un fini appropriées. Coordonner le matériel pour les entrées automatiques avec le matériel requis pour le reste du projet.</w:t>
      </w:r>
    </w:p>
    <w:p w:rsidR="00FA6DA6" w:rsidRPr="00433CFB" w:rsidRDefault="00A61738" w:rsidP="00FA6DA6">
      <w:pPr>
        <w:pStyle w:val="PR1"/>
        <w:tabs>
          <w:tab w:val="num" w:pos="864"/>
        </w:tabs>
      </w:pPr>
      <w:r>
        <w:rPr>
          <w:rFonts w:eastAsia="Arial"/>
          <w:lang w:val="fr-CA"/>
        </w:rPr>
        <w:t>Installation préliminaire du système électrique : Coordonner la disposition et l’installation des entrées automatiques avec les connexions aux blocs d’alimentation et au système de commande d’accès.</w:t>
      </w:r>
    </w:p>
    <w:p w:rsidR="00FA6DA6" w:rsidRPr="00433CFB" w:rsidRDefault="00A61738" w:rsidP="00FA6DA6">
      <w:pPr>
        <w:pStyle w:val="ART"/>
        <w:tabs>
          <w:tab w:val="num" w:pos="864"/>
        </w:tabs>
        <w:spacing w:before="480"/>
      </w:pPr>
      <w:r>
        <w:rPr>
          <w:rFonts w:eastAsia="Arial"/>
          <w:lang w:val="fr-CA"/>
        </w:rPr>
        <w:lastRenderedPageBreak/>
        <w:t>GARANTIE</w:t>
      </w:r>
    </w:p>
    <w:p w:rsidR="00FA6DA6" w:rsidRPr="00433CFB" w:rsidRDefault="00A61738" w:rsidP="00FA6DA6">
      <w:pPr>
        <w:pStyle w:val="PR1"/>
        <w:tabs>
          <w:tab w:val="num" w:pos="864"/>
        </w:tabs>
      </w:pPr>
      <w:r>
        <w:rPr>
          <w:rFonts w:eastAsia="Arial"/>
          <w:lang w:val="fr-CA"/>
        </w:rPr>
        <w:t xml:space="preserve">Les portes d’entrée automatiques doivent être exemptes de défauts de matériaux et de fabrication pour une période d’un (1) an à compter de la date d’achèvement substantiel. </w:t>
      </w:r>
    </w:p>
    <w:p w:rsidR="00FA6DA6" w:rsidRDefault="00A61738"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856D02" w:rsidRPr="0072325F" w:rsidRDefault="00A61738" w:rsidP="00856D02">
      <w:pPr>
        <w:pStyle w:val="PR1"/>
      </w:pPr>
      <w:r>
        <w:rPr>
          <w:rFonts w:eastAsia="Arial"/>
          <w:lang w:val="fr-CA"/>
        </w:rPr>
        <w:t>Pendant la période de garantie, tous les travaux sous garantie doivent être effectués pendant les heures normales de travail.</w:t>
      </w:r>
    </w:p>
    <w:p w:rsidR="0072325F" w:rsidRPr="00424BF3" w:rsidRDefault="0072325F" w:rsidP="0072325F">
      <w:pPr>
        <w:pStyle w:val="PR1"/>
        <w:numPr>
          <w:ilvl w:val="0"/>
          <w:numId w:val="0"/>
        </w:numPr>
        <w:ind w:left="864"/>
      </w:pPr>
    </w:p>
    <w:p w:rsidR="00856D02" w:rsidRPr="00433CFB" w:rsidRDefault="00A61738" w:rsidP="0072325F">
      <w:pPr>
        <w:pStyle w:val="PR1"/>
        <w:numPr>
          <w:ilvl w:val="0"/>
          <w:numId w:val="30"/>
        </w:numPr>
      </w:pPr>
      <w:r w:rsidRPr="0072325F">
        <w:rPr>
          <w:rFonts w:eastAsia="Arial"/>
          <w:lang w:val="fr-CA"/>
        </w:rPr>
        <w:t>PRODUITS</w:t>
      </w:r>
    </w:p>
    <w:p w:rsidR="00856D02" w:rsidRPr="00433CFB" w:rsidRDefault="00A61738" w:rsidP="0072325F">
      <w:pPr>
        <w:pStyle w:val="ART"/>
        <w:numPr>
          <w:ilvl w:val="3"/>
          <w:numId w:val="30"/>
        </w:numPr>
        <w:spacing w:before="480"/>
      </w:pPr>
      <w:r>
        <w:rPr>
          <w:rFonts w:eastAsia="Arial"/>
          <w:lang w:val="fr-CA"/>
        </w:rPr>
        <w:t>FABRICANT</w:t>
      </w:r>
    </w:p>
    <w:p w:rsidR="00856D02" w:rsidRDefault="00A61738" w:rsidP="0072325F">
      <w:pPr>
        <w:pStyle w:val="PR1"/>
        <w:numPr>
          <w:ilvl w:val="4"/>
          <w:numId w:val="30"/>
        </w:numPr>
        <w:jc w:val="left"/>
      </w:pPr>
      <w:proofErr w:type="spellStart"/>
      <w:r w:rsidRPr="00EF47CB">
        <w:rPr>
          <w:rFonts w:eastAsia="Arial"/>
          <w:lang w:val="en-US"/>
        </w:rPr>
        <w:t>dormakaba</w:t>
      </w:r>
      <w:proofErr w:type="spellEnd"/>
      <w:r w:rsidRPr="00EF47CB">
        <w:rPr>
          <w:rFonts w:eastAsia="Arial"/>
          <w:lang w:val="en-US"/>
        </w:rPr>
        <w:t xml:space="preserve">. • </w:t>
      </w:r>
      <w:proofErr w:type="spellStart"/>
      <w:r w:rsidRPr="00EF47CB">
        <w:rPr>
          <w:rFonts w:eastAsia="Arial"/>
          <w:lang w:val="en-US"/>
        </w:rPr>
        <w:t>Reamstown</w:t>
      </w:r>
      <w:proofErr w:type="spellEnd"/>
      <w:r w:rsidRPr="00EF47CB">
        <w:rPr>
          <w:rFonts w:eastAsia="Arial"/>
          <w:lang w:val="en-US"/>
        </w:rPr>
        <w:t xml:space="preserve">, PA • 1 844 SPEC-NOW (1 844 773-2669) • Site Web : </w:t>
      </w:r>
      <w:hyperlink r:id="rId12" w:history="1">
        <w:r w:rsidRPr="00EF47CB">
          <w:rPr>
            <w:rFonts w:eastAsia="Arial"/>
            <w:color w:val="0000FF"/>
            <w:u w:val="single"/>
            <w:lang w:val="en-US"/>
          </w:rPr>
          <w:t>www.dormakaba.us</w:t>
        </w:r>
      </w:hyperlink>
      <w:r w:rsidRPr="00EF47CB">
        <w:rPr>
          <w:rFonts w:eastAsia="Arial"/>
          <w:lang w:val="en-US"/>
        </w:rPr>
        <w:t xml:space="preserve"> • </w:t>
      </w:r>
      <w:proofErr w:type="spellStart"/>
      <w:r w:rsidRPr="00EF47CB">
        <w:rPr>
          <w:rFonts w:eastAsia="Arial"/>
          <w:lang w:val="en-US"/>
        </w:rPr>
        <w:t>Courriel</w:t>
      </w:r>
      <w:proofErr w:type="spellEnd"/>
      <w:r w:rsidRPr="00EF47CB">
        <w:rPr>
          <w:rFonts w:eastAsia="Arial"/>
          <w:lang w:val="en-US"/>
        </w:rPr>
        <w:t xml:space="preserve"> : </w:t>
      </w:r>
      <w:hyperlink r:id="rId13" w:history="1">
        <w:r w:rsidRPr="00EF47CB">
          <w:rPr>
            <w:rFonts w:eastAsia="Arial"/>
            <w:color w:val="0000FF"/>
            <w:u w:val="single"/>
            <w:lang w:val="en-US"/>
          </w:rPr>
          <w:t>specnow.us@dormakaba.com</w:t>
        </w:r>
      </w:hyperlink>
    </w:p>
    <w:p w:rsidR="00856D02" w:rsidRPr="00EF47CB" w:rsidRDefault="00A61738"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A81A0E" w:rsidRDefault="00A61738" w:rsidP="0072325F">
      <w:pPr>
        <w:pStyle w:val="PR1"/>
        <w:numPr>
          <w:ilvl w:val="4"/>
          <w:numId w:val="30"/>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A81A0E" w:rsidRDefault="00A61738" w:rsidP="0072325F">
      <w:pPr>
        <w:pStyle w:val="PR1"/>
        <w:numPr>
          <w:ilvl w:val="4"/>
          <w:numId w:val="30"/>
        </w:numPr>
        <w:rPr>
          <w:b/>
        </w:rPr>
      </w:pPr>
      <w:r>
        <w:rPr>
          <w:rFonts w:eastAsia="Arial"/>
          <w:b/>
          <w:bCs/>
          <w:lang w:val="fr-CA"/>
        </w:rPr>
        <w:t>[Substitutions : Non autorisé.]</w:t>
      </w:r>
    </w:p>
    <w:p w:rsidR="00167E3B" w:rsidRPr="00EF47CB" w:rsidRDefault="00A61738" w:rsidP="00167E3B">
      <w:pPr>
        <w:pStyle w:val="CMTGreen"/>
        <w:rPr>
          <w:lang w:val="fr-CA"/>
        </w:rPr>
      </w:pPr>
      <w:r>
        <w:rPr>
          <w:rFonts w:eastAsia="Arial"/>
          <w:szCs w:val="18"/>
          <w:lang w:val="fr-CA"/>
        </w:rPr>
        <w:t>Choisir le type ou plusieurs types de configurations de porte pour le projet.</w:t>
      </w:r>
    </w:p>
    <w:p w:rsidR="00856D02" w:rsidRPr="00433CFB" w:rsidRDefault="00A61738" w:rsidP="0072325F">
      <w:pPr>
        <w:pStyle w:val="ART"/>
        <w:numPr>
          <w:ilvl w:val="3"/>
          <w:numId w:val="30"/>
        </w:numPr>
        <w:spacing w:before="320"/>
      </w:pPr>
      <w:r>
        <w:rPr>
          <w:rFonts w:eastAsia="Arial"/>
          <w:lang w:val="fr-CA"/>
        </w:rPr>
        <w:t>ENTRÉES AUTOMATIQUES COULISSANTES</w:t>
      </w:r>
    </w:p>
    <w:p w:rsidR="00856D02" w:rsidRPr="00A81A0E" w:rsidRDefault="00A61738" w:rsidP="0072325F">
      <w:pPr>
        <w:pStyle w:val="PR1"/>
        <w:numPr>
          <w:ilvl w:val="4"/>
          <w:numId w:val="30"/>
        </w:numPr>
      </w:pPr>
      <w:r>
        <w:rPr>
          <w:rFonts w:eastAsia="Arial"/>
          <w:lang w:val="fr-CA"/>
        </w:rPr>
        <w:t xml:space="preserve">Modèle : Série ESA DORMA </w:t>
      </w:r>
      <w:r>
        <w:rPr>
          <w:rFonts w:eastAsia="Arial"/>
          <w:b/>
          <w:bCs/>
          <w:lang w:val="fr-CA"/>
        </w:rPr>
        <w:t>[ESA 200]</w:t>
      </w:r>
      <w:r>
        <w:rPr>
          <w:rFonts w:eastAsia="Arial"/>
          <w:lang w:val="fr-CA"/>
        </w:rPr>
        <w:t xml:space="preserve"> Porte automatique coulissante simple à panneau fixe. (Caractéristique de design)</w:t>
      </w:r>
    </w:p>
    <w:p w:rsidR="00856D02" w:rsidRPr="00A81A0E" w:rsidRDefault="00A61738" w:rsidP="0072325F">
      <w:pPr>
        <w:pStyle w:val="PR2"/>
        <w:numPr>
          <w:ilvl w:val="5"/>
          <w:numId w:val="30"/>
        </w:numPr>
      </w:pPr>
      <w:r>
        <w:rPr>
          <w:rFonts w:eastAsia="Arial"/>
          <w:lang w:val="fr-CA"/>
        </w:rPr>
        <w:t>Configuration de la porte coulissante automatique :</w:t>
      </w:r>
    </w:p>
    <w:p w:rsidR="00856D02" w:rsidRPr="00EF47CB" w:rsidRDefault="00A61738" w:rsidP="0072325F">
      <w:pPr>
        <w:pStyle w:val="PR3"/>
        <w:numPr>
          <w:ilvl w:val="6"/>
          <w:numId w:val="30"/>
        </w:numPr>
        <w:rPr>
          <w:lang w:val="fr-CA"/>
        </w:rPr>
      </w:pPr>
      <w:r>
        <w:rPr>
          <w:rFonts w:eastAsia="Arial"/>
          <w:lang w:val="fr-CA"/>
        </w:rPr>
        <w:t>Système de porte à panneau fixe à coulisse simple.</w:t>
      </w:r>
    </w:p>
    <w:p w:rsidR="00856D02" w:rsidRPr="00EF47CB" w:rsidRDefault="00A61738" w:rsidP="0072325F">
      <w:pPr>
        <w:pStyle w:val="PR4"/>
        <w:numPr>
          <w:ilvl w:val="7"/>
          <w:numId w:val="30"/>
        </w:numPr>
        <w:suppressAutoHyphens/>
        <w:jc w:val="both"/>
        <w:rPr>
          <w:lang w:val="fr-CA"/>
        </w:rPr>
      </w:pPr>
      <w:r>
        <w:rPr>
          <w:rFonts w:eastAsia="Arial"/>
          <w:lang w:val="fr-CA"/>
        </w:rPr>
        <w:t xml:space="preserve"> Configuration : Un battant coulissant et un panneau fixe. </w:t>
      </w:r>
    </w:p>
    <w:p w:rsidR="00856D02" w:rsidRPr="00A81A0E" w:rsidRDefault="00A61738" w:rsidP="0072325F">
      <w:pPr>
        <w:pStyle w:val="PR4"/>
        <w:numPr>
          <w:ilvl w:val="7"/>
          <w:numId w:val="30"/>
        </w:numPr>
        <w:suppressAutoHyphens/>
        <w:jc w:val="both"/>
      </w:pPr>
      <w:r>
        <w:rPr>
          <w:rFonts w:eastAsia="Arial"/>
          <w:lang w:val="fr-CA"/>
        </w:rPr>
        <w:t>Modèle de trafic :  Deux directions</w:t>
      </w:r>
    </w:p>
    <w:p w:rsidR="00856D02" w:rsidRPr="00EF47CB" w:rsidRDefault="00A61738" w:rsidP="0072325F">
      <w:pPr>
        <w:pStyle w:val="PR4"/>
        <w:numPr>
          <w:ilvl w:val="7"/>
          <w:numId w:val="30"/>
        </w:numPr>
        <w:suppressAutoHyphens/>
        <w:jc w:val="both"/>
        <w:rPr>
          <w:lang w:val="fr-CA"/>
        </w:rPr>
      </w:pPr>
      <w:r>
        <w:rPr>
          <w:rFonts w:eastAsia="Arial"/>
          <w:lang w:val="fr-CA"/>
        </w:rPr>
        <w:t>Capacité d’écartement en cas d’urgence :  Battant coulissant extérieur seulement.</w:t>
      </w:r>
    </w:p>
    <w:p w:rsidR="00856D02" w:rsidRPr="00EF47CB" w:rsidRDefault="00A61738" w:rsidP="0072325F">
      <w:pPr>
        <w:pStyle w:val="PR4"/>
        <w:numPr>
          <w:ilvl w:val="7"/>
          <w:numId w:val="30"/>
        </w:numPr>
        <w:suppressAutoHyphens/>
        <w:jc w:val="both"/>
        <w:rPr>
          <w:b/>
          <w:lang w:val="fr-CA"/>
        </w:rPr>
      </w:pPr>
      <w:r>
        <w:rPr>
          <w:rFonts w:eastAsia="Arial"/>
          <w:lang w:val="fr-CA"/>
        </w:rPr>
        <w:t>Montage : [</w:t>
      </w:r>
      <w:r>
        <w:rPr>
          <w:rFonts w:eastAsia="Arial"/>
          <w:b/>
          <w:bCs/>
          <w:lang w:val="fr-CA"/>
        </w:rPr>
        <w:t>Entre les montants] [Surface appliquée]</w:t>
      </w:r>
    </w:p>
    <w:p w:rsidR="00856D02" w:rsidRPr="00A81A0E" w:rsidRDefault="00A61738" w:rsidP="0072325F">
      <w:pPr>
        <w:pStyle w:val="PR1"/>
        <w:numPr>
          <w:ilvl w:val="4"/>
          <w:numId w:val="30"/>
        </w:numPr>
      </w:pPr>
      <w:r>
        <w:rPr>
          <w:rFonts w:eastAsia="Arial"/>
          <w:lang w:val="fr-CA"/>
        </w:rPr>
        <w:t xml:space="preserve">Modèle : Série ESA DORMA </w:t>
      </w:r>
      <w:r>
        <w:rPr>
          <w:rFonts w:eastAsia="Arial"/>
          <w:b/>
          <w:bCs/>
          <w:lang w:val="fr-CA"/>
        </w:rPr>
        <w:t xml:space="preserve">[ESA 200] </w:t>
      </w:r>
      <w:r>
        <w:rPr>
          <w:rFonts w:eastAsia="Arial"/>
          <w:lang w:val="fr-CA"/>
        </w:rPr>
        <w:t>Portes automatiques à deux panneaux fixes (caractéristique de design)</w:t>
      </w:r>
    </w:p>
    <w:p w:rsidR="00856D02" w:rsidRPr="00A81A0E" w:rsidRDefault="00A61738" w:rsidP="0072325F">
      <w:pPr>
        <w:pStyle w:val="PR2"/>
        <w:numPr>
          <w:ilvl w:val="5"/>
          <w:numId w:val="30"/>
        </w:numPr>
      </w:pPr>
      <w:r>
        <w:rPr>
          <w:rFonts w:eastAsia="Arial"/>
          <w:lang w:val="fr-CA"/>
        </w:rPr>
        <w:t>Configuration de la porte coulissante automatique :</w:t>
      </w:r>
    </w:p>
    <w:p w:rsidR="00856D02" w:rsidRPr="00EF47CB" w:rsidRDefault="00A61738" w:rsidP="0072325F">
      <w:pPr>
        <w:pStyle w:val="PR3"/>
        <w:numPr>
          <w:ilvl w:val="6"/>
          <w:numId w:val="30"/>
        </w:numPr>
        <w:rPr>
          <w:lang w:val="fr-CA"/>
        </w:rPr>
      </w:pPr>
      <w:r>
        <w:rPr>
          <w:rFonts w:eastAsia="Arial"/>
          <w:lang w:val="fr-CA"/>
        </w:rPr>
        <w:lastRenderedPageBreak/>
        <w:t>Système de porte à deux parties, à panneaux fixes</w:t>
      </w:r>
    </w:p>
    <w:p w:rsidR="00856D02" w:rsidRPr="00EF47CB" w:rsidRDefault="00A61738" w:rsidP="0072325F">
      <w:pPr>
        <w:pStyle w:val="PR4"/>
        <w:numPr>
          <w:ilvl w:val="7"/>
          <w:numId w:val="30"/>
        </w:numPr>
        <w:suppressAutoHyphens/>
        <w:jc w:val="both"/>
        <w:rPr>
          <w:lang w:val="fr-CA"/>
        </w:rPr>
      </w:pPr>
      <w:r>
        <w:rPr>
          <w:rFonts w:eastAsia="Arial"/>
          <w:lang w:val="fr-CA"/>
        </w:rPr>
        <w:t> Configuration : Deux battants coulissants et deux panneaux fixes.</w:t>
      </w:r>
    </w:p>
    <w:p w:rsidR="00856D02" w:rsidRPr="00A81A0E" w:rsidRDefault="00A61738" w:rsidP="0072325F">
      <w:pPr>
        <w:pStyle w:val="PR4"/>
        <w:numPr>
          <w:ilvl w:val="7"/>
          <w:numId w:val="30"/>
        </w:numPr>
        <w:suppressAutoHyphens/>
        <w:jc w:val="both"/>
      </w:pPr>
      <w:r>
        <w:rPr>
          <w:rFonts w:eastAsia="Arial"/>
          <w:lang w:val="fr-CA"/>
        </w:rPr>
        <w:t>Modèle de trafic :  Deux directions</w:t>
      </w:r>
    </w:p>
    <w:p w:rsidR="00856D02" w:rsidRPr="00EF47CB" w:rsidRDefault="00A61738" w:rsidP="0072325F">
      <w:pPr>
        <w:pStyle w:val="PR4"/>
        <w:numPr>
          <w:ilvl w:val="7"/>
          <w:numId w:val="30"/>
        </w:numPr>
        <w:suppressAutoHyphens/>
        <w:jc w:val="both"/>
        <w:rPr>
          <w:lang w:val="fr-CA"/>
        </w:rPr>
      </w:pPr>
      <w:r>
        <w:rPr>
          <w:rFonts w:eastAsia="Arial"/>
          <w:lang w:val="fr-CA"/>
        </w:rPr>
        <w:t>Capacité d’écartement en cas d’urgence : Battants coulissants extérieurs seulement.</w:t>
      </w:r>
    </w:p>
    <w:p w:rsidR="00856D02" w:rsidRPr="00EF47CB" w:rsidRDefault="00A61738" w:rsidP="0072325F">
      <w:pPr>
        <w:pStyle w:val="PR4"/>
        <w:numPr>
          <w:ilvl w:val="7"/>
          <w:numId w:val="30"/>
        </w:numPr>
        <w:suppressAutoHyphens/>
        <w:jc w:val="both"/>
        <w:rPr>
          <w:lang w:val="fr-CA"/>
        </w:rPr>
      </w:pPr>
      <w:r>
        <w:rPr>
          <w:rFonts w:eastAsia="Arial"/>
          <w:lang w:val="fr-CA"/>
        </w:rPr>
        <w:t>Montage : [</w:t>
      </w:r>
      <w:r>
        <w:rPr>
          <w:rFonts w:eastAsia="Arial"/>
          <w:b/>
          <w:bCs/>
          <w:lang w:val="fr-CA"/>
        </w:rPr>
        <w:t>Entre les montants] [Surface appliquée]</w:t>
      </w:r>
    </w:p>
    <w:p w:rsidR="00856D02" w:rsidRPr="00A81A0E" w:rsidRDefault="00A61738" w:rsidP="00856D02">
      <w:pPr>
        <w:pStyle w:val="PR1"/>
        <w:numPr>
          <w:ilvl w:val="4"/>
          <w:numId w:val="28"/>
        </w:numPr>
        <w:tabs>
          <w:tab w:val="num" w:pos="864"/>
        </w:tabs>
      </w:pPr>
      <w:r>
        <w:rPr>
          <w:rFonts w:eastAsia="Arial"/>
          <w:lang w:val="fr-CA"/>
        </w:rPr>
        <w:t xml:space="preserve">Modèle : Série ESA DORMA </w:t>
      </w:r>
      <w:r>
        <w:rPr>
          <w:rFonts w:eastAsia="Arial"/>
          <w:b/>
          <w:bCs/>
          <w:lang w:val="fr-CA"/>
        </w:rPr>
        <w:t>[ESA 300]</w:t>
      </w:r>
      <w:r>
        <w:rPr>
          <w:rFonts w:eastAsia="Arial"/>
          <w:lang w:val="fr-CA"/>
        </w:rPr>
        <w:t xml:space="preserve"> Porte automatique coulissante simple à ouverture en urgence complète. (Caractéristique de design)</w:t>
      </w:r>
    </w:p>
    <w:p w:rsidR="00856D02" w:rsidRPr="00A81A0E" w:rsidRDefault="00A61738" w:rsidP="0072325F">
      <w:pPr>
        <w:pStyle w:val="PR2"/>
        <w:numPr>
          <w:ilvl w:val="5"/>
          <w:numId w:val="30"/>
        </w:numPr>
      </w:pPr>
      <w:r>
        <w:rPr>
          <w:rFonts w:eastAsia="Arial"/>
          <w:lang w:val="fr-CA"/>
        </w:rPr>
        <w:t>Configuration de la porte coulissante automatique :</w:t>
      </w:r>
    </w:p>
    <w:p w:rsidR="00856D02" w:rsidRPr="00EF47CB" w:rsidRDefault="00A61738" w:rsidP="0072325F">
      <w:pPr>
        <w:pStyle w:val="PR3"/>
        <w:numPr>
          <w:ilvl w:val="6"/>
          <w:numId w:val="30"/>
        </w:numPr>
        <w:rPr>
          <w:lang w:val="fr-CA"/>
        </w:rPr>
      </w:pPr>
      <w:r>
        <w:rPr>
          <w:rFonts w:eastAsia="Arial"/>
          <w:lang w:val="fr-CA"/>
        </w:rPr>
        <w:t xml:space="preserve">Système de porte coulissante simple à ouverture en urgence complète. </w:t>
      </w:r>
    </w:p>
    <w:p w:rsidR="00856D02" w:rsidRPr="00EF47CB" w:rsidRDefault="00A61738" w:rsidP="0072325F">
      <w:pPr>
        <w:pStyle w:val="PR4"/>
        <w:numPr>
          <w:ilvl w:val="7"/>
          <w:numId w:val="30"/>
        </w:numPr>
        <w:suppressAutoHyphens/>
        <w:jc w:val="both"/>
        <w:rPr>
          <w:lang w:val="fr-CA"/>
        </w:rPr>
      </w:pPr>
      <w:r>
        <w:rPr>
          <w:rFonts w:eastAsia="Arial"/>
          <w:lang w:val="fr-CA"/>
        </w:rPr>
        <w:t xml:space="preserve"> Configuration : Un battant simple coulissant et un panneau opérable. </w:t>
      </w:r>
    </w:p>
    <w:p w:rsidR="00856D02" w:rsidRPr="00A81A0E" w:rsidRDefault="00A61738" w:rsidP="0072325F">
      <w:pPr>
        <w:pStyle w:val="PR4"/>
        <w:numPr>
          <w:ilvl w:val="7"/>
          <w:numId w:val="30"/>
        </w:numPr>
        <w:suppressAutoHyphens/>
        <w:jc w:val="both"/>
      </w:pPr>
      <w:r>
        <w:rPr>
          <w:rFonts w:eastAsia="Arial"/>
          <w:lang w:val="fr-CA"/>
        </w:rPr>
        <w:t>Modèle de trafic :  Deux directions</w:t>
      </w:r>
    </w:p>
    <w:p w:rsidR="00856D02" w:rsidRPr="00EF47CB" w:rsidRDefault="00A61738" w:rsidP="0072325F">
      <w:pPr>
        <w:pStyle w:val="PR4"/>
        <w:numPr>
          <w:ilvl w:val="7"/>
          <w:numId w:val="30"/>
        </w:numPr>
        <w:suppressAutoHyphens/>
        <w:jc w:val="both"/>
        <w:rPr>
          <w:lang w:val="fr-CA"/>
        </w:rPr>
      </w:pPr>
      <w:r>
        <w:rPr>
          <w:rFonts w:eastAsia="Arial"/>
          <w:lang w:val="fr-CA"/>
        </w:rPr>
        <w:t>Capacité d’écartement en cas d’urgence : Battant coulissant intérieur et panneau fixe.</w:t>
      </w:r>
    </w:p>
    <w:p w:rsidR="00856D02" w:rsidRPr="00EF47CB" w:rsidRDefault="00A61738" w:rsidP="0072325F">
      <w:pPr>
        <w:pStyle w:val="PR4"/>
        <w:numPr>
          <w:ilvl w:val="7"/>
          <w:numId w:val="30"/>
        </w:numPr>
        <w:suppressAutoHyphens/>
        <w:jc w:val="both"/>
        <w:rPr>
          <w:lang w:val="fr-CA"/>
        </w:rPr>
      </w:pPr>
      <w:r>
        <w:rPr>
          <w:rFonts w:eastAsia="Arial"/>
          <w:lang w:val="fr-CA"/>
        </w:rPr>
        <w:t>Montage : [</w:t>
      </w:r>
      <w:r>
        <w:rPr>
          <w:rFonts w:eastAsia="Arial"/>
          <w:b/>
          <w:bCs/>
          <w:lang w:val="fr-CA"/>
        </w:rPr>
        <w:t>Entre les montants] [Surface appliquée]</w:t>
      </w:r>
      <w:r>
        <w:rPr>
          <w:rFonts w:eastAsia="Arial"/>
          <w:lang w:val="fr-CA"/>
        </w:rPr>
        <w:t xml:space="preserve">:  </w:t>
      </w:r>
    </w:p>
    <w:p w:rsidR="00856D02" w:rsidRPr="00433CFB" w:rsidRDefault="00A61738" w:rsidP="0072325F">
      <w:pPr>
        <w:pStyle w:val="PR1"/>
        <w:numPr>
          <w:ilvl w:val="4"/>
          <w:numId w:val="30"/>
        </w:numPr>
      </w:pPr>
      <w:r>
        <w:rPr>
          <w:rFonts w:eastAsia="Arial"/>
          <w:lang w:val="fr-CA"/>
        </w:rPr>
        <w:t xml:space="preserve">Modèle : Série ESA DORMA </w:t>
      </w:r>
      <w:r>
        <w:rPr>
          <w:rFonts w:eastAsia="Arial"/>
          <w:b/>
          <w:bCs/>
          <w:lang w:val="fr-CA"/>
        </w:rPr>
        <w:t>[ESA 300]</w:t>
      </w:r>
      <w:r>
        <w:rPr>
          <w:rFonts w:eastAsia="Arial"/>
          <w:lang w:val="fr-CA"/>
        </w:rPr>
        <w:t xml:space="preserve"> Porte automatique à deux parties à ouverture en urgence complète avec deux panneaux fixes opérables (caractéristique de design)</w:t>
      </w:r>
    </w:p>
    <w:p w:rsidR="00856D02" w:rsidRPr="00433CFB" w:rsidRDefault="00A61738" w:rsidP="0072325F">
      <w:pPr>
        <w:pStyle w:val="PR2"/>
        <w:numPr>
          <w:ilvl w:val="5"/>
          <w:numId w:val="30"/>
        </w:numPr>
      </w:pPr>
      <w:r>
        <w:rPr>
          <w:rFonts w:eastAsia="Arial"/>
          <w:lang w:val="fr-CA"/>
        </w:rPr>
        <w:t>Configuration de la porte coulissante automatique :</w:t>
      </w:r>
    </w:p>
    <w:p w:rsidR="00856D02" w:rsidRPr="00EF47CB" w:rsidRDefault="00A61738" w:rsidP="00856D02">
      <w:pPr>
        <w:pStyle w:val="PR3"/>
        <w:numPr>
          <w:ilvl w:val="6"/>
          <w:numId w:val="27"/>
        </w:numPr>
        <w:tabs>
          <w:tab w:val="num" w:pos="2016"/>
        </w:tabs>
        <w:rPr>
          <w:lang w:val="fr-CA"/>
        </w:rPr>
      </w:pPr>
      <w:r>
        <w:rPr>
          <w:rFonts w:eastAsia="Arial"/>
          <w:lang w:val="fr-CA"/>
        </w:rPr>
        <w:t>Système de porte à deux parties, ouverture en urgence complète.</w:t>
      </w:r>
    </w:p>
    <w:p w:rsidR="00856D02" w:rsidRPr="00EF47CB" w:rsidRDefault="00A61738" w:rsidP="0072325F">
      <w:pPr>
        <w:pStyle w:val="PR4"/>
        <w:numPr>
          <w:ilvl w:val="7"/>
          <w:numId w:val="30"/>
        </w:numPr>
        <w:suppressAutoHyphens/>
        <w:jc w:val="both"/>
        <w:rPr>
          <w:lang w:val="fr-CA"/>
        </w:rPr>
      </w:pPr>
      <w:r>
        <w:rPr>
          <w:rFonts w:eastAsia="Arial"/>
          <w:lang w:val="fr-CA"/>
        </w:rPr>
        <w:t> Configuration : Deux parties, deux battants coulissants avec deux panneaux fixes à écartement.</w:t>
      </w:r>
    </w:p>
    <w:p w:rsidR="00856D02" w:rsidRPr="00433CFB" w:rsidRDefault="00A61738" w:rsidP="0072325F">
      <w:pPr>
        <w:pStyle w:val="PR4"/>
        <w:numPr>
          <w:ilvl w:val="7"/>
          <w:numId w:val="30"/>
        </w:numPr>
        <w:suppressAutoHyphens/>
        <w:jc w:val="both"/>
      </w:pPr>
      <w:r>
        <w:rPr>
          <w:rFonts w:eastAsia="Arial"/>
          <w:lang w:val="fr-CA"/>
        </w:rPr>
        <w:t>Modèle de trafic :  Deux directions</w:t>
      </w:r>
    </w:p>
    <w:p w:rsidR="00856D02" w:rsidRPr="00EF47CB" w:rsidRDefault="00A61738" w:rsidP="0072325F">
      <w:pPr>
        <w:pStyle w:val="PR4"/>
        <w:numPr>
          <w:ilvl w:val="7"/>
          <w:numId w:val="30"/>
        </w:numPr>
        <w:suppressAutoHyphens/>
        <w:jc w:val="both"/>
        <w:rPr>
          <w:lang w:val="fr-CA"/>
        </w:rPr>
      </w:pPr>
      <w:r>
        <w:rPr>
          <w:rFonts w:eastAsia="Arial"/>
          <w:lang w:val="fr-CA"/>
        </w:rPr>
        <w:t>Capacité d’écartement en cas d’urgence : Battants coulissants et panneaux fixes intérieurs.</w:t>
      </w:r>
    </w:p>
    <w:p w:rsidR="00856D02" w:rsidRPr="00EF47CB" w:rsidRDefault="00A61738" w:rsidP="0072325F">
      <w:pPr>
        <w:pStyle w:val="PR4"/>
        <w:numPr>
          <w:ilvl w:val="7"/>
          <w:numId w:val="30"/>
        </w:numPr>
        <w:suppressAutoHyphens/>
        <w:jc w:val="both"/>
        <w:rPr>
          <w:b/>
          <w:lang w:val="fr-CA"/>
        </w:rPr>
      </w:pPr>
      <w:r>
        <w:rPr>
          <w:rFonts w:eastAsia="Arial"/>
          <w:lang w:val="fr-CA"/>
        </w:rPr>
        <w:t>Montage : [Entre les montants] [Surface appliquée]</w:t>
      </w:r>
    </w:p>
    <w:p w:rsidR="00FD35EA" w:rsidRPr="00A81A0E" w:rsidRDefault="00A61738" w:rsidP="0072325F">
      <w:pPr>
        <w:pStyle w:val="PR1"/>
        <w:numPr>
          <w:ilvl w:val="4"/>
          <w:numId w:val="30"/>
        </w:numPr>
      </w:pPr>
      <w:r>
        <w:rPr>
          <w:rFonts w:eastAsia="Arial"/>
          <w:lang w:val="fr-CA"/>
        </w:rPr>
        <w:t>Dimensions :  Confirmer les dimensions de l’emballage de la porte comme indiqué sur les dessins architecturaux.</w:t>
      </w:r>
    </w:p>
    <w:p w:rsidR="00856D02" w:rsidRPr="00A81A0E" w:rsidRDefault="00A61738" w:rsidP="0072325F">
      <w:pPr>
        <w:pStyle w:val="ART"/>
        <w:numPr>
          <w:ilvl w:val="3"/>
          <w:numId w:val="30"/>
        </w:numPr>
        <w:spacing w:before="480"/>
      </w:pPr>
      <w:r>
        <w:rPr>
          <w:rFonts w:eastAsia="Arial"/>
          <w:lang w:val="fr-CA"/>
        </w:rPr>
        <w:t>PORTES ET CADRES EN ALUMINIUM</w:t>
      </w:r>
    </w:p>
    <w:p w:rsidR="00856D02" w:rsidRPr="00A81A0E" w:rsidRDefault="00A61738" w:rsidP="0072325F">
      <w:pPr>
        <w:pStyle w:val="PR1"/>
        <w:numPr>
          <w:ilvl w:val="4"/>
          <w:numId w:val="30"/>
        </w:numPr>
      </w:pPr>
      <w:r>
        <w:rPr>
          <w:rFonts w:eastAsia="Arial"/>
          <w:lang w:val="fr-CA"/>
        </w:rPr>
        <w:t>Portes et cadres : Aluminium extrudé, alliage 6063-T5</w:t>
      </w:r>
    </w:p>
    <w:p w:rsidR="00D65D7F" w:rsidRPr="001B650A" w:rsidRDefault="00A61738" w:rsidP="0072325F">
      <w:pPr>
        <w:pStyle w:val="PR2"/>
        <w:numPr>
          <w:ilvl w:val="5"/>
          <w:numId w:val="30"/>
        </w:numPr>
      </w:pPr>
      <w:r>
        <w:rPr>
          <w:rFonts w:eastAsia="Arial"/>
          <w:lang w:val="fr-CA"/>
        </w:rPr>
        <w:t>Les panneaux de porte doivent avoir une épaisseur de paroi structurelle minimale de 0,125 po (3,2 mm) sur toute la longueur d’extrusion.</w:t>
      </w:r>
    </w:p>
    <w:p w:rsidR="00856D02" w:rsidRPr="00A81A0E" w:rsidRDefault="00A61738" w:rsidP="0072325F">
      <w:pPr>
        <w:pStyle w:val="PR2"/>
        <w:numPr>
          <w:ilvl w:val="5"/>
          <w:numId w:val="30"/>
        </w:numPr>
      </w:pPr>
      <w:r>
        <w:rPr>
          <w:rFonts w:eastAsia="Arial"/>
          <w:lang w:val="fr-CA"/>
        </w:rPr>
        <w:t>La construction de la porte doit se faire au moyen d’un bloc de cisaillement d’angle à verrouillage boulonné en croix.</w:t>
      </w:r>
    </w:p>
    <w:p w:rsidR="00856D02" w:rsidRPr="003B0D60" w:rsidRDefault="00A61738" w:rsidP="0072325F">
      <w:pPr>
        <w:pStyle w:val="PR2"/>
        <w:numPr>
          <w:ilvl w:val="5"/>
          <w:numId w:val="30"/>
        </w:numPr>
      </w:pPr>
      <w:r>
        <w:rPr>
          <w:rFonts w:eastAsia="Arial"/>
          <w:lang w:val="fr-CA"/>
        </w:rPr>
        <w:t>Le système de porte coulissante doit comprendre deux verrouillages fixant ensemble le montant principal du panneau fixe et le montant bout à bout de la porte coulissante.</w:t>
      </w:r>
    </w:p>
    <w:p w:rsidR="00856D02" w:rsidRPr="003B0D60" w:rsidRDefault="00A61738" w:rsidP="0072325F">
      <w:pPr>
        <w:pStyle w:val="PR2"/>
        <w:numPr>
          <w:ilvl w:val="5"/>
          <w:numId w:val="30"/>
        </w:numPr>
      </w:pPr>
      <w:r>
        <w:rPr>
          <w:rFonts w:eastAsia="Arial"/>
          <w:lang w:val="fr-CA"/>
        </w:rPr>
        <w:t>Les montants verticaux doivent être :</w:t>
      </w:r>
    </w:p>
    <w:p w:rsidR="00856D02" w:rsidRPr="003B0D60" w:rsidRDefault="00A61738" w:rsidP="0072325F">
      <w:pPr>
        <w:pStyle w:val="PR3"/>
        <w:numPr>
          <w:ilvl w:val="6"/>
          <w:numId w:val="30"/>
        </w:numPr>
        <w:rPr>
          <w:b/>
        </w:rPr>
      </w:pPr>
      <w:r>
        <w:rPr>
          <w:rFonts w:eastAsia="Arial"/>
          <w:b/>
          <w:bCs/>
          <w:lang w:val="fr-CA"/>
        </w:rPr>
        <w:t>[Montant étroit : 2 5/8 po]</w:t>
      </w:r>
    </w:p>
    <w:p w:rsidR="00856D02" w:rsidRPr="003B0D60" w:rsidRDefault="00A61738" w:rsidP="0072325F">
      <w:pPr>
        <w:pStyle w:val="PR3"/>
        <w:numPr>
          <w:ilvl w:val="6"/>
          <w:numId w:val="30"/>
        </w:numPr>
        <w:rPr>
          <w:b/>
        </w:rPr>
      </w:pPr>
      <w:r>
        <w:rPr>
          <w:rFonts w:eastAsia="Arial"/>
          <w:b/>
          <w:bCs/>
          <w:lang w:val="fr-CA"/>
        </w:rPr>
        <w:t xml:space="preserve">[Montant moyen : 4-1/2 po] </w:t>
      </w:r>
    </w:p>
    <w:p w:rsidR="00856D02" w:rsidRPr="003B0D60" w:rsidRDefault="00A61738" w:rsidP="0072325F">
      <w:pPr>
        <w:pStyle w:val="PR2"/>
        <w:numPr>
          <w:ilvl w:val="5"/>
          <w:numId w:val="30"/>
        </w:numPr>
      </w:pPr>
      <w:r>
        <w:rPr>
          <w:rFonts w:eastAsia="Arial"/>
          <w:lang w:val="fr-CA"/>
        </w:rPr>
        <w:t xml:space="preserve">Les rails inférieurs doivent être de taille standard : </w:t>
      </w:r>
      <w:r>
        <w:rPr>
          <w:rFonts w:eastAsia="Arial"/>
          <w:b/>
          <w:bCs/>
          <w:lang w:val="fr-CA"/>
        </w:rPr>
        <w:t>[4 po] [6 3⁄4 po] [10 po]</w:t>
      </w:r>
      <w:r>
        <w:rPr>
          <w:rFonts w:eastAsia="Arial"/>
          <w:lang w:val="fr-CA"/>
        </w:rPr>
        <w:t xml:space="preserve"> de valeur nominale.</w:t>
      </w:r>
    </w:p>
    <w:p w:rsidR="00856D02" w:rsidRPr="003B0D60" w:rsidRDefault="00A61738" w:rsidP="0072325F">
      <w:pPr>
        <w:pStyle w:val="PR2"/>
        <w:numPr>
          <w:ilvl w:val="5"/>
          <w:numId w:val="30"/>
        </w:numPr>
      </w:pPr>
      <w:r>
        <w:rPr>
          <w:rFonts w:eastAsia="Arial"/>
          <w:lang w:val="fr-CA"/>
        </w:rPr>
        <w:t xml:space="preserve">[La traverse intermédiaire doit mesurer </w:t>
      </w:r>
      <w:r w:rsidR="00610FE0">
        <w:rPr>
          <w:rFonts w:eastAsia="Arial"/>
          <w:b/>
          <w:bCs/>
          <w:lang w:val="fr-CA"/>
        </w:rPr>
        <w:t>[1 3⁄4 po] [3 1/</w:t>
      </w:r>
      <w:r>
        <w:rPr>
          <w:rFonts w:eastAsia="Arial"/>
          <w:b/>
          <w:bCs/>
          <w:lang w:val="fr-CA"/>
        </w:rPr>
        <w:t>4 po]</w:t>
      </w:r>
      <w:r>
        <w:rPr>
          <w:rFonts w:eastAsia="Arial"/>
          <w:lang w:val="fr-CA"/>
        </w:rPr>
        <w:t xml:space="preserve"> </w:t>
      </w:r>
    </w:p>
    <w:p w:rsidR="00856D02" w:rsidRDefault="00A61738" w:rsidP="0072325F">
      <w:pPr>
        <w:pStyle w:val="PR2"/>
        <w:numPr>
          <w:ilvl w:val="5"/>
          <w:numId w:val="30"/>
        </w:numPr>
        <w:spacing w:after="240"/>
      </w:pPr>
      <w:r>
        <w:rPr>
          <w:rFonts w:eastAsia="Arial"/>
          <w:lang w:val="fr-CA"/>
        </w:rPr>
        <w:t xml:space="preserve">Les coupe-froid doivent être conformes à la norme AAMA 701-11 Classe A, de type coulissant, en nylon remplaçable retenu par les extrusions d'aluminium pour réduire les </w:t>
      </w:r>
      <w:r>
        <w:rPr>
          <w:rFonts w:eastAsia="Arial"/>
          <w:lang w:val="fr-CA"/>
        </w:rPr>
        <w:lastRenderedPageBreak/>
        <w:t>pertes d'énergie. Les types de coupe-froid suivants sont exigés : coupe-froid à poils de nylon au bas des portes; coupe-froid à poils doubles aux bords avant des portes coulissantes; coupe-froid entre le support et le linteau des portes coulissantes; coupe-froid à poils doubles aux rails de verrouillage entre la porte coulissante et les panneaux fixes; coupe-froid à poils doubles entre les portes latérales et les montants de porte.</w:t>
      </w:r>
    </w:p>
    <w:p w:rsidR="00856D02" w:rsidRPr="00EF47CB" w:rsidRDefault="00A61738" w:rsidP="00167E3B">
      <w:pPr>
        <w:pStyle w:val="CMTGreen"/>
        <w:rPr>
          <w:lang w:val="fr-CA"/>
        </w:rPr>
      </w:pPr>
      <w:r>
        <w:rPr>
          <w:rFonts w:eastAsia="Arial"/>
          <w:szCs w:val="18"/>
          <w:lang w:val="fr-CA"/>
        </w:rPr>
        <w:t>Consulter le Centre SPEC NOW pour obtenir des options de vitrage supplémentaires.</w:t>
      </w:r>
    </w:p>
    <w:p w:rsidR="00856D02" w:rsidRPr="00433CFB" w:rsidRDefault="00A61738" w:rsidP="0072325F">
      <w:pPr>
        <w:pStyle w:val="PR1"/>
        <w:numPr>
          <w:ilvl w:val="4"/>
          <w:numId w:val="30"/>
        </w:numPr>
      </w:pPr>
      <w:r>
        <w:rPr>
          <w:rFonts w:eastAsia="Arial"/>
          <w:lang w:val="fr-CA"/>
        </w:rPr>
        <w:t>Verre : Le vitrage doit être conforme à l’épaisseur ANSI Z97.1 indiquée.</w:t>
      </w:r>
    </w:p>
    <w:p w:rsidR="00856D02" w:rsidRPr="0098514D" w:rsidRDefault="00A61738" w:rsidP="0072325F">
      <w:pPr>
        <w:pStyle w:val="PR2"/>
        <w:numPr>
          <w:ilvl w:val="5"/>
          <w:numId w:val="30"/>
        </w:numPr>
      </w:pPr>
      <w:r>
        <w:rPr>
          <w:rFonts w:eastAsia="Arial"/>
          <w:lang w:val="fr-CA"/>
        </w:rPr>
        <w:t xml:space="preserve">Vitrage de panneaux de porte active </w:t>
      </w:r>
      <w:r>
        <w:rPr>
          <w:rFonts w:eastAsia="Arial"/>
          <w:b/>
          <w:bCs/>
          <w:lang w:val="fr-CA"/>
        </w:rPr>
        <w:t>[1/4 po (6 mm) à 1 ¼ po (32 mm)]</w:t>
      </w:r>
      <w:r>
        <w:rPr>
          <w:rFonts w:eastAsia="Arial"/>
          <w:lang w:val="fr-CA"/>
        </w:rPr>
        <w:t xml:space="preserve"> trempé, sauf indication contraire.</w:t>
      </w:r>
    </w:p>
    <w:p w:rsidR="00856D02" w:rsidRPr="0098514D" w:rsidRDefault="00A61738" w:rsidP="0072325F">
      <w:pPr>
        <w:pStyle w:val="PR2"/>
        <w:numPr>
          <w:ilvl w:val="5"/>
          <w:numId w:val="30"/>
        </w:numPr>
      </w:pPr>
      <w:r>
        <w:rPr>
          <w:rFonts w:eastAsia="Arial"/>
          <w:lang w:val="fr-CA"/>
        </w:rPr>
        <w:t xml:space="preserve">Vitrage de panneaux fixes actifs </w:t>
      </w:r>
      <w:r>
        <w:rPr>
          <w:rFonts w:eastAsia="Arial"/>
          <w:b/>
          <w:bCs/>
          <w:lang w:val="fr-CA"/>
        </w:rPr>
        <w:t>[1/4 po (6 mm) à 1 ¼ po (32 mm)]</w:t>
      </w:r>
      <w:r>
        <w:rPr>
          <w:rFonts w:eastAsia="Arial"/>
          <w:lang w:val="fr-CA"/>
        </w:rPr>
        <w:t xml:space="preserve"> trempé, sauf indication contraire.</w:t>
      </w:r>
    </w:p>
    <w:p w:rsidR="00856D02" w:rsidRPr="0098514D" w:rsidRDefault="00A61738" w:rsidP="0072325F">
      <w:pPr>
        <w:pStyle w:val="PR2"/>
        <w:numPr>
          <w:ilvl w:val="5"/>
          <w:numId w:val="30"/>
        </w:numPr>
      </w:pPr>
      <w:r>
        <w:rPr>
          <w:rFonts w:eastAsia="Arial"/>
          <w:lang w:val="fr-CA"/>
        </w:rPr>
        <w:t xml:space="preserve">Panneau d'imposte vitrée </w:t>
      </w:r>
      <w:r>
        <w:rPr>
          <w:rFonts w:eastAsia="Arial"/>
          <w:b/>
          <w:bCs/>
          <w:lang w:val="fr-CA"/>
        </w:rPr>
        <w:t>[1/4 po [6 mm]</w:t>
      </w:r>
      <w:r>
        <w:rPr>
          <w:rFonts w:eastAsia="Arial"/>
          <w:lang w:val="fr-CA"/>
        </w:rPr>
        <w:t xml:space="preserve"> trempé, sauf indication contraire</w:t>
      </w:r>
    </w:p>
    <w:p w:rsidR="00856D02" w:rsidRPr="0098514D" w:rsidRDefault="00A61738" w:rsidP="0072325F">
      <w:pPr>
        <w:pStyle w:val="PR2"/>
        <w:numPr>
          <w:ilvl w:val="5"/>
          <w:numId w:val="30"/>
        </w:numPr>
      </w:pPr>
      <w:r>
        <w:rPr>
          <w:rFonts w:eastAsia="Arial"/>
          <w:lang w:val="fr-CA"/>
        </w:rPr>
        <w:t>Installation du vitrage : Consultez la section Division 8 pour connaître les exigences en matière de vitrage.</w:t>
      </w:r>
    </w:p>
    <w:p w:rsidR="00856D02" w:rsidRPr="00433CFB" w:rsidRDefault="00A61738" w:rsidP="0072325F">
      <w:pPr>
        <w:pStyle w:val="ART"/>
        <w:numPr>
          <w:ilvl w:val="3"/>
          <w:numId w:val="30"/>
        </w:numPr>
        <w:spacing w:before="480"/>
      </w:pPr>
      <w:r>
        <w:rPr>
          <w:rFonts w:eastAsia="Arial"/>
          <w:lang w:val="fr-CA"/>
        </w:rPr>
        <w:t xml:space="preserve">ACTIONNEURS DE PORTE </w:t>
      </w:r>
    </w:p>
    <w:p w:rsidR="007177FD" w:rsidRPr="001B650A" w:rsidRDefault="00A61738" w:rsidP="0072325F">
      <w:pPr>
        <w:pStyle w:val="PR1"/>
        <w:numPr>
          <w:ilvl w:val="4"/>
          <w:numId w:val="30"/>
        </w:numPr>
      </w:pPr>
      <w:r>
        <w:rPr>
          <w:rFonts w:eastAsia="Arial"/>
          <w:lang w:val="fr-CA"/>
        </w:rPr>
        <w:t xml:space="preserve">Assemblages supports de porte coulissante et rails à roulettes de ferme-porte encastré :  Ensemble de support standard du fabricant qui permet un réglage vertical; composé de roues centrales à roulement à billes recouvertes de </w:t>
      </w:r>
      <w:proofErr w:type="spellStart"/>
      <w:r>
        <w:rPr>
          <w:rFonts w:eastAsia="Arial"/>
          <w:lang w:val="fr-CA"/>
        </w:rPr>
        <w:t>delrin</w:t>
      </w:r>
      <w:proofErr w:type="spellEnd"/>
      <w:r>
        <w:rPr>
          <w:rFonts w:eastAsia="Arial"/>
          <w:lang w:val="fr-CA"/>
        </w:rPr>
        <w:t xml:space="preserve"> fonctionnant sur un rail à roulettes continu. Soutenir les portes de l’assemblage du support par un porte-à-faux réglable et un assemblage de pivot.</w:t>
      </w:r>
    </w:p>
    <w:p w:rsidR="007177FD" w:rsidRPr="001B650A" w:rsidRDefault="00A61738" w:rsidP="0072325F">
      <w:pPr>
        <w:pStyle w:val="PR2"/>
        <w:numPr>
          <w:ilvl w:val="5"/>
          <w:numId w:val="30"/>
        </w:numPr>
      </w:pPr>
      <w:r>
        <w:rPr>
          <w:rFonts w:eastAsia="Arial"/>
          <w:lang w:val="fr-CA"/>
        </w:rPr>
        <w:t>Roulettes : Au moins deux roues à roulement à billes et deux roulettes anti-montage pour chaque battant actif.</w:t>
      </w:r>
    </w:p>
    <w:p w:rsidR="007177FD" w:rsidRPr="001B650A" w:rsidRDefault="00A61738" w:rsidP="0072325F">
      <w:pPr>
        <w:pStyle w:val="PR1"/>
        <w:numPr>
          <w:ilvl w:val="4"/>
          <w:numId w:val="30"/>
        </w:numPr>
      </w:pPr>
      <w:r>
        <w:rPr>
          <w:rFonts w:eastAsia="Arial"/>
          <w:lang w:val="fr-CA"/>
        </w:rPr>
        <w:t>Opérateur et contrôleur : un système avec un opérateur électromécanique et un contrôleur à microprocesseur.  Les composants sont constitués d’un moteur à aimant permanent CC, d’un système d’entraînement autolubrifiant et d’un codeur rotatif numérique sans usure, tous liés à un contrôleur à microprocesseur numérique entièrement intégré</w:t>
      </w:r>
    </w:p>
    <w:p w:rsidR="007177FD" w:rsidRPr="00433CFB" w:rsidRDefault="00A61738" w:rsidP="0072325F">
      <w:pPr>
        <w:pStyle w:val="PR2"/>
        <w:numPr>
          <w:ilvl w:val="5"/>
          <w:numId w:val="30"/>
        </w:numPr>
      </w:pPr>
      <w:r>
        <w:rPr>
          <w:rFonts w:eastAsia="Arial"/>
          <w:lang w:val="fr-CA"/>
        </w:rPr>
        <w:t>Caractéristiques :</w:t>
      </w:r>
    </w:p>
    <w:p w:rsidR="007177FD" w:rsidRPr="00433CFB" w:rsidRDefault="00A61738" w:rsidP="0072325F">
      <w:pPr>
        <w:pStyle w:val="PR3"/>
        <w:numPr>
          <w:ilvl w:val="6"/>
          <w:numId w:val="30"/>
        </w:numPr>
      </w:pPr>
      <w:r>
        <w:rPr>
          <w:rFonts w:eastAsia="Arial"/>
          <w:lang w:val="fr-CA"/>
        </w:rPr>
        <w:t>Ouverture et fermeture électriques.</w:t>
      </w:r>
    </w:p>
    <w:p w:rsidR="007177FD" w:rsidRPr="00433CFB" w:rsidRDefault="00A61738" w:rsidP="0072325F">
      <w:pPr>
        <w:pStyle w:val="PR3"/>
        <w:numPr>
          <w:ilvl w:val="6"/>
          <w:numId w:val="30"/>
        </w:numPr>
      </w:pPr>
      <w:r>
        <w:rPr>
          <w:rFonts w:eastAsia="Arial"/>
          <w:lang w:val="fr-CA"/>
        </w:rPr>
        <w:t>Système d’entraînement : courroie</w:t>
      </w:r>
    </w:p>
    <w:p w:rsidR="007177FD" w:rsidRPr="00EF47CB" w:rsidRDefault="00A61738" w:rsidP="0072325F">
      <w:pPr>
        <w:pStyle w:val="PR3"/>
        <w:numPr>
          <w:ilvl w:val="6"/>
          <w:numId w:val="30"/>
        </w:numPr>
        <w:rPr>
          <w:lang w:val="fr-CA"/>
        </w:rPr>
      </w:pPr>
      <w:r>
        <w:rPr>
          <w:rFonts w:eastAsia="Arial"/>
          <w:lang w:val="fr-CA"/>
        </w:rPr>
        <w:t>Vitesses d’ouverture et de fermeture réglables.</w:t>
      </w:r>
    </w:p>
    <w:p w:rsidR="007177FD" w:rsidRPr="00EF47CB" w:rsidRDefault="00A61738" w:rsidP="0072325F">
      <w:pPr>
        <w:pStyle w:val="PR3"/>
        <w:numPr>
          <w:ilvl w:val="6"/>
          <w:numId w:val="30"/>
        </w:numPr>
        <w:rPr>
          <w:lang w:val="fr-CA"/>
        </w:rPr>
      </w:pPr>
      <w:r>
        <w:rPr>
          <w:rFonts w:eastAsia="Arial"/>
          <w:lang w:val="fr-CA"/>
        </w:rPr>
        <w:t>Temps d’ouverture réglable entre 0 et 30 secondes.</w:t>
      </w:r>
    </w:p>
    <w:p w:rsidR="007177FD" w:rsidRPr="00433CFB" w:rsidRDefault="00A61738" w:rsidP="0072325F">
      <w:pPr>
        <w:pStyle w:val="PR3"/>
        <w:numPr>
          <w:ilvl w:val="6"/>
          <w:numId w:val="30"/>
        </w:numPr>
      </w:pPr>
      <w:r>
        <w:rPr>
          <w:rFonts w:eastAsia="Arial"/>
          <w:lang w:val="fr-CA"/>
        </w:rPr>
        <w:t>Recyclage par obstruction.</w:t>
      </w:r>
    </w:p>
    <w:p w:rsidR="007177FD" w:rsidRPr="00EF47CB" w:rsidRDefault="00A61738" w:rsidP="0072325F">
      <w:pPr>
        <w:pStyle w:val="PR3"/>
        <w:numPr>
          <w:ilvl w:val="6"/>
          <w:numId w:val="30"/>
        </w:numPr>
        <w:rPr>
          <w:lang w:val="fr-CA"/>
        </w:rPr>
      </w:pPr>
      <w:r>
        <w:rPr>
          <w:rFonts w:eastAsia="Arial"/>
          <w:lang w:val="fr-CA"/>
        </w:rPr>
        <w:t xml:space="preserve">Capacités de contrôle d’accès améliorées. </w:t>
      </w:r>
    </w:p>
    <w:p w:rsidR="007177FD" w:rsidRPr="00F875A8" w:rsidRDefault="00A61738" w:rsidP="0072325F">
      <w:pPr>
        <w:pStyle w:val="PR2"/>
        <w:numPr>
          <w:ilvl w:val="5"/>
          <w:numId w:val="30"/>
        </w:numPr>
      </w:pPr>
      <w:r>
        <w:rPr>
          <w:rFonts w:eastAsia="Arial"/>
          <w:lang w:val="fr-CA"/>
        </w:rPr>
        <w:t>Interrupteurs de porte : Interrupteurs de programme intérieurs montés sur le côté, comprenant :</w:t>
      </w:r>
    </w:p>
    <w:p w:rsidR="007177FD" w:rsidRPr="00EF47CB" w:rsidRDefault="00A61738" w:rsidP="0072325F">
      <w:pPr>
        <w:pStyle w:val="PR3"/>
        <w:numPr>
          <w:ilvl w:val="6"/>
          <w:numId w:val="30"/>
        </w:numPr>
        <w:rPr>
          <w:lang w:val="fr-CA"/>
        </w:rPr>
      </w:pPr>
      <w:r>
        <w:rPr>
          <w:rFonts w:eastAsia="Arial"/>
          <w:lang w:val="fr-CA"/>
        </w:rPr>
        <w:t>Interrupteur principal - Fermeture automatique - Ouverture, actionne la porte en mode entièrement automatique, éteint la porte ou la garde complètement ouverte.</w:t>
      </w:r>
    </w:p>
    <w:p w:rsidR="003C1A17" w:rsidRPr="00EF47CB" w:rsidRDefault="00A61738" w:rsidP="0072325F">
      <w:pPr>
        <w:pStyle w:val="PR3"/>
        <w:numPr>
          <w:ilvl w:val="6"/>
          <w:numId w:val="30"/>
        </w:numPr>
        <w:rPr>
          <w:lang w:val="fr-CA"/>
        </w:rPr>
      </w:pPr>
      <w:r>
        <w:rPr>
          <w:rFonts w:eastAsia="Arial"/>
          <w:lang w:val="fr-CA"/>
        </w:rPr>
        <w:t>Interrupteur de sortie seulement : marche/arrêt, seul le dispositif d’activation du côté sortie ouvre la porte.</w:t>
      </w:r>
    </w:p>
    <w:p w:rsidR="007177FD" w:rsidRPr="00EF47CB" w:rsidRDefault="00A61738" w:rsidP="0072325F">
      <w:pPr>
        <w:pStyle w:val="PR3"/>
        <w:numPr>
          <w:ilvl w:val="6"/>
          <w:numId w:val="30"/>
        </w:numPr>
        <w:rPr>
          <w:lang w:val="fr-CA"/>
        </w:rPr>
      </w:pPr>
      <w:r>
        <w:rPr>
          <w:rFonts w:eastAsia="Arial"/>
          <w:lang w:val="fr-CA"/>
        </w:rPr>
        <w:t xml:space="preserve">Interrupteur d’ouverture partielle : marche/arrêt Le mode d’ouverture </w:t>
      </w:r>
      <w:proofErr w:type="spellStart"/>
      <w:r>
        <w:rPr>
          <w:rFonts w:eastAsia="Arial"/>
          <w:lang w:val="fr-CA"/>
        </w:rPr>
        <w:t>écoénergétique</w:t>
      </w:r>
      <w:proofErr w:type="spellEnd"/>
      <w:r>
        <w:rPr>
          <w:rFonts w:eastAsia="Arial"/>
          <w:lang w:val="fr-CA"/>
        </w:rPr>
        <w:t xml:space="preserve"> limite l’ouverture en largeur. </w:t>
      </w:r>
    </w:p>
    <w:p w:rsidR="00F56E3D" w:rsidRPr="001B650A" w:rsidRDefault="00A61738" w:rsidP="0072325F">
      <w:pPr>
        <w:pStyle w:val="PR3"/>
        <w:numPr>
          <w:ilvl w:val="6"/>
          <w:numId w:val="30"/>
        </w:numPr>
        <w:rPr>
          <w:b/>
        </w:rPr>
      </w:pPr>
      <w:r>
        <w:rPr>
          <w:rFonts w:eastAsia="Arial"/>
          <w:lang w:val="fr-CA"/>
        </w:rPr>
        <w:t>Commutateur :</w:t>
      </w:r>
      <w:r>
        <w:rPr>
          <w:rFonts w:eastAsia="Arial"/>
          <w:b/>
          <w:bCs/>
          <w:lang w:val="fr-CA"/>
        </w:rPr>
        <w:t xml:space="preserve"> [</w:t>
      </w:r>
      <w:r w:rsidR="00EF47CB">
        <w:rPr>
          <w:rFonts w:eastAsia="Arial"/>
          <w:b/>
          <w:bCs/>
          <w:lang w:val="fr-CA"/>
        </w:rPr>
        <w:t>basculant</w:t>
      </w:r>
      <w:r>
        <w:rPr>
          <w:rFonts w:eastAsia="Arial"/>
          <w:b/>
          <w:bCs/>
          <w:lang w:val="fr-CA"/>
        </w:rPr>
        <w:t>] [</w:t>
      </w:r>
      <w:r w:rsidR="00EF47CB">
        <w:rPr>
          <w:rFonts w:eastAsia="Arial"/>
          <w:b/>
          <w:bCs/>
          <w:lang w:val="fr-CA"/>
        </w:rPr>
        <w:t>à clé</w:t>
      </w:r>
      <w:r>
        <w:rPr>
          <w:rFonts w:eastAsia="Arial"/>
          <w:b/>
          <w:bCs/>
          <w:lang w:val="fr-CA"/>
        </w:rPr>
        <w:t>]</w:t>
      </w:r>
    </w:p>
    <w:p w:rsidR="004478A7" w:rsidRPr="00B03CC9" w:rsidRDefault="00A61738" w:rsidP="0072325F">
      <w:pPr>
        <w:pStyle w:val="PR2"/>
        <w:numPr>
          <w:ilvl w:val="5"/>
          <w:numId w:val="30"/>
        </w:numPr>
      </w:pPr>
      <w:r>
        <w:rPr>
          <w:rFonts w:eastAsia="Arial"/>
          <w:lang w:val="fr-CA"/>
        </w:rPr>
        <w:lastRenderedPageBreak/>
        <w:t xml:space="preserve">Le contrôleur doit fournir un moyen de vérifier la fonctionnalité du capteur de présence et la connexion entre le contrôleur et les capteurs, tel qu’exigé par la norme ANSI 156.10.  Ce système de surveillance en boucle fermée, dès la détection d’une défaillance dans le capteur ou le câblage, doit entraîner l’arrêt automatique du fonctionnement.  </w:t>
      </w:r>
    </w:p>
    <w:p w:rsidR="004478A7" w:rsidRPr="00EF47CB" w:rsidRDefault="004478A7" w:rsidP="004478A7">
      <w:pPr>
        <w:pStyle w:val="PR3"/>
        <w:numPr>
          <w:ilvl w:val="0"/>
          <w:numId w:val="0"/>
        </w:numPr>
        <w:tabs>
          <w:tab w:val="clear" w:pos="2016"/>
        </w:tabs>
        <w:ind w:left="2016"/>
        <w:rPr>
          <w:b/>
          <w:lang w:val="fr-CA"/>
        </w:rPr>
      </w:pPr>
    </w:p>
    <w:p w:rsidR="00856D02" w:rsidRPr="00A81A0E" w:rsidRDefault="00A61738" w:rsidP="0072325F">
      <w:pPr>
        <w:pStyle w:val="ART"/>
        <w:numPr>
          <w:ilvl w:val="3"/>
          <w:numId w:val="30"/>
        </w:numPr>
        <w:spacing w:before="480"/>
      </w:pPr>
      <w:r>
        <w:rPr>
          <w:rFonts w:eastAsia="Arial"/>
          <w:lang w:val="fr-CA"/>
        </w:rPr>
        <w:t>ACTIVATION ET SÉCURITÉ</w:t>
      </w:r>
    </w:p>
    <w:p w:rsidR="00272E08" w:rsidRPr="00D06577" w:rsidRDefault="00A61738" w:rsidP="0072325F">
      <w:pPr>
        <w:pStyle w:val="PR1"/>
        <w:numPr>
          <w:ilvl w:val="4"/>
          <w:numId w:val="30"/>
        </w:numPr>
      </w:pPr>
      <w:r>
        <w:rPr>
          <w:rFonts w:eastAsia="Arial"/>
          <w:lang w:val="fr-CA"/>
        </w:rPr>
        <w:t>Fournir des contrôles conformément à la norme ANSI/BHMA pour l’état de l’exposition et pour un fonctionnement à long terme sans entretien sous une charge de circulation normale. Seuls les systèmes de sécurité (capteurs) qui ont été testés et approuvés doivent être utilisés conjointement avec les systèmes et les produits du fabricant.</w:t>
      </w:r>
    </w:p>
    <w:p w:rsidR="00272E08" w:rsidRPr="001B650A" w:rsidRDefault="00A61738" w:rsidP="0072325F">
      <w:pPr>
        <w:pStyle w:val="PR1"/>
        <w:numPr>
          <w:ilvl w:val="4"/>
          <w:numId w:val="30"/>
        </w:numPr>
      </w:pPr>
      <w:r>
        <w:rPr>
          <w:rFonts w:eastAsia="Arial"/>
          <w:lang w:val="fr-CA"/>
        </w:rPr>
        <w:t>Détecteurs de mouvement/présence combinés surveillés :  Unités autonomes; composées de capteurs de mouvement et de présence dans un seul boîtier; réglables pour fournir les tailles et les fonctions de champ de détection requises par ANSI/A156.10.</w:t>
      </w:r>
    </w:p>
    <w:p w:rsidR="00272E08" w:rsidRPr="001B650A" w:rsidRDefault="00A61738" w:rsidP="0072325F">
      <w:pPr>
        <w:pStyle w:val="PR2"/>
        <w:numPr>
          <w:ilvl w:val="5"/>
          <w:numId w:val="30"/>
        </w:numPr>
      </w:pPr>
      <w:r>
        <w:rPr>
          <w:rFonts w:eastAsia="Arial"/>
          <w:lang w:val="fr-CA"/>
        </w:rPr>
        <w:t>Détecteur de mouvement :  Radar à effet Doppler à bande K.</w:t>
      </w:r>
    </w:p>
    <w:p w:rsidR="00272E08" w:rsidRPr="00EF47CB" w:rsidRDefault="00A61738" w:rsidP="0072325F">
      <w:pPr>
        <w:pStyle w:val="PR3"/>
        <w:numPr>
          <w:ilvl w:val="6"/>
          <w:numId w:val="30"/>
        </w:numPr>
        <w:rPr>
          <w:lang w:val="fr-CA"/>
        </w:rPr>
      </w:pPr>
      <w:r>
        <w:rPr>
          <w:rFonts w:eastAsia="Arial"/>
          <w:lang w:val="fr-CA"/>
        </w:rPr>
        <w:t>Permet de basculer entre la détection bidirectionnelle et la détection unidirectionnelle.</w:t>
      </w:r>
    </w:p>
    <w:p w:rsidR="00272E08" w:rsidRPr="00EF47CB" w:rsidRDefault="00A61738" w:rsidP="0072325F">
      <w:pPr>
        <w:pStyle w:val="PR3"/>
        <w:numPr>
          <w:ilvl w:val="6"/>
          <w:numId w:val="30"/>
        </w:numPr>
        <w:rPr>
          <w:lang w:val="fr-CA"/>
        </w:rPr>
      </w:pPr>
      <w:r>
        <w:rPr>
          <w:rFonts w:eastAsia="Arial"/>
          <w:lang w:val="fr-CA"/>
        </w:rPr>
        <w:t>Pour les entrées à sens unique, le capteur du côté de l’issue de sortie ne doit pas être actif lorsque les portes sont complètement fermées.</w:t>
      </w:r>
    </w:p>
    <w:p w:rsidR="00272E08" w:rsidRPr="001B650A" w:rsidRDefault="00A61738" w:rsidP="0072325F">
      <w:pPr>
        <w:pStyle w:val="PR2"/>
        <w:numPr>
          <w:ilvl w:val="5"/>
          <w:numId w:val="30"/>
        </w:numPr>
      </w:pPr>
      <w:r>
        <w:rPr>
          <w:rFonts w:eastAsia="Arial"/>
          <w:lang w:val="fr-CA"/>
        </w:rPr>
        <w:t xml:space="preserve">Capteurs de présence :  Le capteur infrarouge actif doit fournir deux zones de chevauchement qui permettent de détecter la présence dans le seuil lorsque la porte est en position ouverte. </w:t>
      </w:r>
    </w:p>
    <w:p w:rsidR="00272E08" w:rsidRPr="00EF47CB" w:rsidRDefault="00A61738" w:rsidP="00272E08">
      <w:pPr>
        <w:pStyle w:val="CMTGreen"/>
        <w:rPr>
          <w:lang w:val="fr-CA"/>
        </w:rPr>
      </w:pPr>
      <w:r>
        <w:rPr>
          <w:rFonts w:eastAsia="Arial"/>
          <w:szCs w:val="18"/>
          <w:lang w:val="fr-CA"/>
        </w:rPr>
        <w:t xml:space="preserve">Sélectionner des dispositifs d’activation supplémentaires pour les opérations de porte coulissantes. </w:t>
      </w:r>
    </w:p>
    <w:p w:rsidR="00257DFA" w:rsidRPr="00257DFA" w:rsidRDefault="00A61738" w:rsidP="0072325F">
      <w:pPr>
        <w:pStyle w:val="PR1"/>
        <w:numPr>
          <w:ilvl w:val="4"/>
          <w:numId w:val="30"/>
        </w:numPr>
      </w:pPr>
      <w:r>
        <w:rPr>
          <w:rFonts w:eastAsia="Arial"/>
          <w:lang w:val="fr-CA"/>
        </w:rPr>
        <w:t xml:space="preserve">Dispositif d’activation :  </w:t>
      </w:r>
    </w:p>
    <w:p w:rsidR="00257DFA" w:rsidRPr="00257DFA" w:rsidRDefault="00A61738" w:rsidP="0072325F">
      <w:pPr>
        <w:pStyle w:val="PR2"/>
        <w:numPr>
          <w:ilvl w:val="5"/>
          <w:numId w:val="30"/>
        </w:numPr>
        <w:rPr>
          <w:rFonts w:ascii="Times New Roman" w:hAnsi="Times New Roman"/>
          <w:b/>
        </w:rPr>
      </w:pPr>
      <w:r>
        <w:rPr>
          <w:rFonts w:eastAsia="Arial"/>
          <w:b/>
          <w:bCs/>
          <w:lang w:val="fr-CA"/>
        </w:rPr>
        <w:t>[Plaque à pousser :  Plaque à pousser en acier inoxydable [4 3/4 po carrée] [6 po ronde] câblée avec mention « pousser pour ouvrir » gravée et avec un logo bleu de handicap.]</w:t>
      </w:r>
    </w:p>
    <w:p w:rsidR="00257DFA" w:rsidRPr="00257DFA" w:rsidRDefault="00A61738" w:rsidP="0072325F">
      <w:pPr>
        <w:pStyle w:val="PR2"/>
        <w:numPr>
          <w:ilvl w:val="5"/>
          <w:numId w:val="30"/>
        </w:numPr>
        <w:rPr>
          <w:rFonts w:ascii="Times New Roman" w:hAnsi="Times New Roman"/>
          <w:b/>
        </w:rPr>
      </w:pPr>
      <w:r>
        <w:rPr>
          <w:rFonts w:eastAsia="Arial"/>
          <w:b/>
          <w:bCs/>
          <w:lang w:val="fr-CA"/>
        </w:rPr>
        <w:t>[Plaque à pousser :  [Câblé] [Sans fil], Plaque à pousser en acier inoxydable de 36 po x 6 po avec mention « pousser pour ouvrir » gravée et avec un logo bleu de handicap.]</w:t>
      </w:r>
    </w:p>
    <w:p w:rsidR="00257DFA" w:rsidRPr="00257DFA" w:rsidRDefault="00A61738" w:rsidP="0072325F">
      <w:pPr>
        <w:pStyle w:val="PR2"/>
        <w:numPr>
          <w:ilvl w:val="5"/>
          <w:numId w:val="30"/>
        </w:numPr>
        <w:rPr>
          <w:b/>
        </w:rPr>
      </w:pPr>
      <w:r>
        <w:rPr>
          <w:rFonts w:eastAsia="Arial"/>
          <w:b/>
          <w:bCs/>
          <w:lang w:val="fr-CA"/>
        </w:rPr>
        <w:t>[Plaque à pousser :  Monté sur montant, câblé, 1 1/2 po x 4 3/4 po, interrupteurs à plaque à pousser en acier inoxydable avec mention « pousser pour ouvrir » gravée et avec un logo bleu de handicap.]</w:t>
      </w:r>
    </w:p>
    <w:p w:rsidR="00257DFA" w:rsidRPr="00257DFA" w:rsidRDefault="00A61738" w:rsidP="0072325F">
      <w:pPr>
        <w:pStyle w:val="PR2"/>
        <w:numPr>
          <w:ilvl w:val="5"/>
          <w:numId w:val="30"/>
        </w:numPr>
        <w:rPr>
          <w:b/>
        </w:rPr>
      </w:pPr>
      <w:r>
        <w:rPr>
          <w:rFonts w:eastAsia="Arial"/>
          <w:b/>
          <w:bCs/>
          <w:lang w:val="fr-CA"/>
        </w:rPr>
        <w:t>[Plaque à pousser :  Plaque à pousser sans fil radiocommandée en acier inoxydable [4 1/2 po carré] [6 po rond] avec mention « pousser pour ouvrir » gravée et avec un logo bleu de handicap.]</w:t>
      </w:r>
    </w:p>
    <w:p w:rsidR="00257DFA" w:rsidRPr="00257DFA" w:rsidRDefault="00A61738" w:rsidP="0072325F">
      <w:pPr>
        <w:pStyle w:val="PR2"/>
        <w:numPr>
          <w:ilvl w:val="5"/>
          <w:numId w:val="30"/>
        </w:numPr>
        <w:rPr>
          <w:b/>
        </w:rPr>
      </w:pPr>
      <w:r>
        <w:rPr>
          <w:rFonts w:eastAsia="Arial"/>
          <w:b/>
          <w:bCs/>
          <w:lang w:val="fr-CA"/>
        </w:rPr>
        <w:t>[Bouton sans contact : [2 3/4 po x 4 1/2 po] [4 1/2 po carré] plaque d’activation du capteur en [blanc] [noir] [crème].  La technologie de micro-ondes a une portée réglable de 2 à 24 pouces.]</w:t>
      </w:r>
    </w:p>
    <w:p w:rsidR="00257DFA" w:rsidRDefault="00A61738" w:rsidP="0072325F">
      <w:pPr>
        <w:pStyle w:val="PR2"/>
        <w:numPr>
          <w:ilvl w:val="5"/>
          <w:numId w:val="30"/>
        </w:numPr>
        <w:rPr>
          <w:b/>
        </w:rPr>
      </w:pPr>
      <w:r>
        <w:rPr>
          <w:rFonts w:eastAsia="Arial"/>
          <w:b/>
          <w:bCs/>
          <w:lang w:val="fr-CA"/>
        </w:rPr>
        <w:t xml:space="preserve">[Activateur de contrôle d’accès : tel que sélectionné par l’architecte.] </w:t>
      </w:r>
    </w:p>
    <w:p w:rsidR="00DE1B2D" w:rsidRPr="00257DFA" w:rsidRDefault="00A61738" w:rsidP="00DE1B2D">
      <w:pPr>
        <w:pStyle w:val="PR1"/>
        <w:numPr>
          <w:ilvl w:val="0"/>
          <w:numId w:val="0"/>
        </w:numPr>
        <w:ind w:left="864"/>
      </w:pPr>
      <w:bookmarkStart w:id="2" w:name="_Hlk523824863"/>
      <w:r>
        <w:rPr>
          <w:rFonts w:eastAsia="Arial" w:cs="Arial"/>
          <w:i/>
          <w:iCs/>
          <w:color w:val="808080"/>
          <w:shd w:val="clear" w:color="auto" w:fill="FFFFFF"/>
          <w:lang w:val="fr-CA"/>
        </w:rPr>
        <w:t xml:space="preserve">Le code du bâtiment de la Californie exige deux actionneurs de plaque à pousser à chaque emplacement d’actionneur, l’un monté entre 178 et 203 mm (7 et 8 po) du sol à la ligne centrale, et l’autre monté entre 762 et 1 118 mm (44 po) au-dessus du sol. Les barres d’actionnement </w:t>
      </w:r>
      <w:r>
        <w:rPr>
          <w:rFonts w:eastAsia="Arial" w:cs="Arial"/>
          <w:i/>
          <w:iCs/>
          <w:color w:val="808080"/>
          <w:shd w:val="clear" w:color="auto" w:fill="FFFFFF"/>
          <w:lang w:val="fr-CA"/>
        </w:rPr>
        <w:lastRenderedPageBreak/>
        <w:t>verticales peuvent être utilisées au lieu de deux actionneurs distincts, avec le bas de la barre à 127 mm (5 po) maximum au-dessus du plancher et le haut à 889 mm (35 po) minimum au-dessus du plancher</w:t>
      </w:r>
      <w:bookmarkEnd w:id="2"/>
      <w:r>
        <w:rPr>
          <w:rFonts w:eastAsia="Arial" w:cs="Arial"/>
          <w:i/>
          <w:iCs/>
          <w:color w:val="808080"/>
          <w:shd w:val="clear" w:color="auto" w:fill="FFFFFF"/>
          <w:lang w:val="fr-CA"/>
        </w:rPr>
        <w:t>.</w:t>
      </w:r>
    </w:p>
    <w:p w:rsidR="00040C26" w:rsidRPr="00F43894" w:rsidRDefault="00A61738" w:rsidP="0072325F">
      <w:pPr>
        <w:pStyle w:val="PR1"/>
        <w:numPr>
          <w:ilvl w:val="4"/>
          <w:numId w:val="30"/>
        </w:numPr>
      </w:pPr>
      <w:r>
        <w:rPr>
          <w:rFonts w:eastAsia="Arial"/>
          <w:lang w:val="fr-CA"/>
        </w:rPr>
        <w:t xml:space="preserve">Les poutres de sécurité ne sont pas acceptables. </w:t>
      </w:r>
    </w:p>
    <w:p w:rsidR="00856D02" w:rsidRPr="00A81A0E" w:rsidRDefault="00A61738" w:rsidP="0072325F">
      <w:pPr>
        <w:pStyle w:val="ART"/>
        <w:numPr>
          <w:ilvl w:val="3"/>
          <w:numId w:val="30"/>
        </w:numPr>
        <w:spacing w:before="480"/>
      </w:pPr>
      <w:r>
        <w:rPr>
          <w:rFonts w:eastAsia="Arial"/>
          <w:lang w:val="fr-CA"/>
        </w:rPr>
        <w:t xml:space="preserve">ÉLECTRICITÉ </w:t>
      </w:r>
    </w:p>
    <w:p w:rsidR="00856D02" w:rsidRPr="00A81A0E" w:rsidRDefault="00A61738" w:rsidP="0072325F">
      <w:pPr>
        <w:pStyle w:val="PR1"/>
        <w:numPr>
          <w:ilvl w:val="4"/>
          <w:numId w:val="30"/>
        </w:numPr>
      </w:pPr>
      <w:r>
        <w:rPr>
          <w:rFonts w:eastAsia="Arial"/>
          <w:lang w:val="fr-CA"/>
        </w:rPr>
        <w:t xml:space="preserve">Service électrique 120 V c.a., 60 Hz, 5 A. </w:t>
      </w:r>
    </w:p>
    <w:p w:rsidR="00856D02" w:rsidRPr="00433CFB" w:rsidRDefault="00A61738" w:rsidP="0072325F">
      <w:pPr>
        <w:pStyle w:val="PR1"/>
        <w:numPr>
          <w:ilvl w:val="4"/>
          <w:numId w:val="30"/>
        </w:numPr>
      </w:pPr>
      <w:r>
        <w:rPr>
          <w:rFonts w:eastAsia="Arial"/>
          <w:b/>
          <w:bCs/>
          <w:lang w:val="fr-CA"/>
        </w:rPr>
        <w:t>[Sauvegarde de la batterie] : (au besoin)</w:t>
      </w:r>
      <w:r>
        <w:rPr>
          <w:rFonts w:eastAsia="Arial"/>
          <w:lang w:val="fr-CA"/>
        </w:rPr>
        <w:t xml:space="preserve"> dissimulé dans le boîtier du linteau de porte et capable de fonctionner pleinement, y compris les capacités du capteur pendant 200 cycles.</w:t>
      </w:r>
    </w:p>
    <w:p w:rsidR="00856D02" w:rsidRPr="00433CFB" w:rsidRDefault="00A61738" w:rsidP="0072325F">
      <w:pPr>
        <w:pStyle w:val="ART"/>
        <w:numPr>
          <w:ilvl w:val="3"/>
          <w:numId w:val="30"/>
        </w:numPr>
        <w:spacing w:before="480"/>
      </w:pPr>
      <w:r>
        <w:rPr>
          <w:rFonts w:eastAsia="Arial"/>
          <w:lang w:val="fr-CA"/>
        </w:rPr>
        <w:t>QUINCAILLERIE</w:t>
      </w:r>
    </w:p>
    <w:p w:rsidR="00856D02" w:rsidRPr="00433CFB" w:rsidRDefault="00A61738" w:rsidP="0072325F">
      <w:pPr>
        <w:pStyle w:val="PR1"/>
        <w:numPr>
          <w:ilvl w:val="4"/>
          <w:numId w:val="30"/>
        </w:numPr>
      </w:pPr>
      <w:r>
        <w:rPr>
          <w:rFonts w:eastAsia="Arial"/>
          <w:lang w:val="fr-CA"/>
        </w:rPr>
        <w:t>Généralités : Fournir la quincaillerie standard du fabricant, au besoin, pour assurer le bon fonctionnement de la porte.</w:t>
      </w:r>
    </w:p>
    <w:p w:rsidR="00856D02" w:rsidRPr="00A81A0E" w:rsidRDefault="00A61738" w:rsidP="00856D02">
      <w:pPr>
        <w:pStyle w:val="PR2"/>
        <w:numPr>
          <w:ilvl w:val="0"/>
          <w:numId w:val="0"/>
        </w:numPr>
        <w:ind w:left="864"/>
      </w:pPr>
      <w:r>
        <w:rPr>
          <w:rFonts w:eastAsia="Arial"/>
          <w:lang w:val="fr-CA"/>
        </w:rPr>
        <w:t xml:space="preserve">La quincaillerie d’écartement en cas d’urgence fait partie intégrante du design de la porte et est fournie par le fabricant pour se conformer aux codes applicables. </w:t>
      </w:r>
    </w:p>
    <w:p w:rsidR="00856D02" w:rsidRPr="00A81A0E" w:rsidRDefault="00A61738" w:rsidP="0072325F">
      <w:pPr>
        <w:pStyle w:val="PR2"/>
        <w:numPr>
          <w:ilvl w:val="5"/>
          <w:numId w:val="30"/>
        </w:numPr>
      </w:pPr>
      <w:r>
        <w:rPr>
          <w:rFonts w:eastAsia="Arial"/>
          <w:b/>
          <w:bCs/>
          <w:lang w:val="fr-CA"/>
        </w:rPr>
        <w:t>[ESA 200]</w:t>
      </w:r>
      <w:r>
        <w:rPr>
          <w:rFonts w:eastAsia="Arial"/>
          <w:lang w:val="fr-CA"/>
        </w:rPr>
        <w:t xml:space="preserve"> dispose d’un ferme-porte hydraulique dissimulé ITS 96 pour remettre la porte dans sa position d’origine.</w:t>
      </w:r>
    </w:p>
    <w:p w:rsidR="00856D02" w:rsidRDefault="00A61738" w:rsidP="0072325F">
      <w:pPr>
        <w:pStyle w:val="PR2"/>
        <w:numPr>
          <w:ilvl w:val="5"/>
          <w:numId w:val="30"/>
        </w:numPr>
      </w:pPr>
      <w:r>
        <w:rPr>
          <w:rFonts w:eastAsia="Arial"/>
          <w:b/>
          <w:bCs/>
          <w:lang w:val="fr-CA"/>
        </w:rPr>
        <w:t>[ESA 300]</w:t>
      </w:r>
      <w:r>
        <w:rPr>
          <w:rFonts w:eastAsia="Arial"/>
          <w:lang w:val="fr-CA"/>
        </w:rPr>
        <w:t xml:space="preserve"> a un bras de limite sur tous les panneaux d’écartement pour empêcher les portes de s’ouvrir à plus de 90 degrés.</w:t>
      </w:r>
    </w:p>
    <w:p w:rsidR="00540E6A" w:rsidRDefault="00540E6A" w:rsidP="001B650A">
      <w:pPr>
        <w:pStyle w:val="PR2"/>
        <w:numPr>
          <w:ilvl w:val="0"/>
          <w:numId w:val="0"/>
        </w:numPr>
        <w:tabs>
          <w:tab w:val="clear" w:pos="1440"/>
        </w:tabs>
        <w:ind w:left="1440"/>
      </w:pPr>
    </w:p>
    <w:p w:rsidR="00540E6A" w:rsidRPr="00A81A0E" w:rsidRDefault="00A61738" w:rsidP="001B650A">
      <w:pPr>
        <w:pStyle w:val="CMTGreen"/>
      </w:pPr>
      <w:r>
        <w:rPr>
          <w:rFonts w:eastAsia="Arial"/>
          <w:szCs w:val="18"/>
          <w:lang w:val="fr-CA"/>
        </w:rPr>
        <w:t>Choisir la quincaillerie de verrouillage. Consultez SPEC NOW pour plus d’informations</w:t>
      </w:r>
    </w:p>
    <w:p w:rsidR="00856D02" w:rsidRPr="00A81A0E" w:rsidRDefault="00A61738" w:rsidP="0072325F">
      <w:pPr>
        <w:pStyle w:val="PR1"/>
        <w:numPr>
          <w:ilvl w:val="4"/>
          <w:numId w:val="30"/>
        </w:numPr>
      </w:pPr>
      <w:r>
        <w:rPr>
          <w:rFonts w:eastAsia="Arial"/>
          <w:lang w:val="fr-CA"/>
        </w:rPr>
        <w:t xml:space="preserve">Quincaillerie de verrouillage :  </w:t>
      </w:r>
    </w:p>
    <w:p w:rsidR="00856D02" w:rsidRPr="00A81A0E" w:rsidRDefault="00A61738" w:rsidP="0072325F">
      <w:pPr>
        <w:pStyle w:val="PR2"/>
        <w:numPr>
          <w:ilvl w:val="5"/>
          <w:numId w:val="30"/>
        </w:numPr>
      </w:pPr>
      <w:r>
        <w:rPr>
          <w:rFonts w:eastAsia="Arial"/>
          <w:lang w:val="fr-CA"/>
        </w:rPr>
        <w:t>Pênes dormants : Crochet en acier laminé, type mortaise, A156.5, grade 1.</w:t>
      </w:r>
    </w:p>
    <w:p w:rsidR="00856D02" w:rsidRPr="00A81A0E" w:rsidRDefault="00A61738" w:rsidP="0072325F">
      <w:pPr>
        <w:pStyle w:val="PR2"/>
        <w:numPr>
          <w:ilvl w:val="5"/>
          <w:numId w:val="30"/>
        </w:numPr>
      </w:pPr>
      <w:r>
        <w:rPr>
          <w:rFonts w:eastAsia="Arial"/>
          <w:lang w:val="fr-CA"/>
        </w:rPr>
        <w:t>Verrouillage en deux points pour portes coulissantes : Mécanisme dans le montant du battant de porte active qui étend automatiquement le deuxième boulon de verrouillage dans l’assemblage du support de ferme-porte encastré.</w:t>
      </w:r>
    </w:p>
    <w:p w:rsidR="00856D02" w:rsidRPr="00EF47CB" w:rsidRDefault="00A61738" w:rsidP="0072325F">
      <w:pPr>
        <w:pStyle w:val="PR3"/>
        <w:numPr>
          <w:ilvl w:val="6"/>
          <w:numId w:val="30"/>
        </w:numPr>
        <w:rPr>
          <w:lang w:val="fr-CA"/>
        </w:rPr>
      </w:pPr>
      <w:r>
        <w:rPr>
          <w:rFonts w:eastAsia="Arial"/>
          <w:lang w:val="fr-CA"/>
        </w:rPr>
        <w:t xml:space="preserve">Activation par le pouce à l’intérieur, clé à l’extérieur.  </w:t>
      </w:r>
      <w:r>
        <w:rPr>
          <w:rFonts w:eastAsia="Arial"/>
          <w:b/>
          <w:bCs/>
          <w:lang w:val="fr-CA"/>
        </w:rPr>
        <w:t>[Clé des deux côtés]</w:t>
      </w:r>
      <w:r>
        <w:rPr>
          <w:rFonts w:eastAsia="Arial"/>
          <w:lang w:val="fr-CA"/>
        </w:rPr>
        <w:t xml:space="preserve"> Indicateurs de verrouillage si le code l’exige.</w:t>
      </w:r>
    </w:p>
    <w:p w:rsidR="00856D02" w:rsidRPr="00A81A0E" w:rsidRDefault="00A61738" w:rsidP="0072325F">
      <w:pPr>
        <w:pStyle w:val="PR1"/>
        <w:numPr>
          <w:ilvl w:val="4"/>
          <w:numId w:val="30"/>
        </w:numPr>
      </w:pPr>
      <w:r>
        <w:rPr>
          <w:rFonts w:eastAsia="Arial"/>
          <w:lang w:val="fr-CA"/>
        </w:rPr>
        <w:t>Verrouillage automatique pour porte coulissante : Dispositif à commande électrique monté dans le linteau qui verrouille automatiquement la porte contre le coulissement lorsqu’elle est en position fermée. Utiliser la batterie de secours pour assurer un niveau de sécurité accru.</w:t>
      </w:r>
    </w:p>
    <w:p w:rsidR="00856D02" w:rsidRPr="00A81A0E" w:rsidRDefault="00A61738" w:rsidP="0072325F">
      <w:pPr>
        <w:pStyle w:val="PR2"/>
        <w:numPr>
          <w:ilvl w:val="5"/>
          <w:numId w:val="30"/>
        </w:numPr>
      </w:pPr>
      <w:r>
        <w:rPr>
          <w:rFonts w:eastAsia="Arial"/>
          <w:lang w:val="fr-CA"/>
        </w:rPr>
        <w:t>Comprend des dispositifs de sortie à tige verticale dissimulés, UL 305, avec verrouillage dans l’assemblage du support de ferme-porte encastré et dégagés par</w:t>
      </w:r>
      <w:r>
        <w:rPr>
          <w:rFonts w:eastAsia="Arial"/>
          <w:b/>
          <w:bCs/>
          <w:lang w:val="fr-CA"/>
        </w:rPr>
        <w:t xml:space="preserve"> [barre de panique pleine largeur montée en surface] [montée à ras] </w:t>
      </w:r>
      <w:r>
        <w:rPr>
          <w:rFonts w:eastAsia="Arial"/>
          <w:lang w:val="fr-CA"/>
        </w:rPr>
        <w:t>et qui empêchent les portes d’urgence de pivoter et qui procurent une issue de sortie d’urgence.</w:t>
      </w:r>
    </w:p>
    <w:p w:rsidR="001B656B" w:rsidRPr="00A81A0E" w:rsidRDefault="001B656B" w:rsidP="001B656B">
      <w:pPr>
        <w:pStyle w:val="PR2"/>
        <w:numPr>
          <w:ilvl w:val="0"/>
          <w:numId w:val="0"/>
        </w:numPr>
        <w:tabs>
          <w:tab w:val="clear" w:pos="1440"/>
        </w:tabs>
        <w:ind w:left="1440"/>
      </w:pPr>
    </w:p>
    <w:p w:rsidR="00E24BBB" w:rsidRPr="00EF47CB" w:rsidRDefault="00A61738" w:rsidP="00111695">
      <w:pPr>
        <w:pStyle w:val="CMTGreen"/>
        <w:rPr>
          <w:lang w:val="fr-CA"/>
        </w:rPr>
      </w:pPr>
      <w:r>
        <w:rPr>
          <w:rFonts w:eastAsia="Arial"/>
          <w:szCs w:val="18"/>
          <w:lang w:val="fr-CA"/>
        </w:rPr>
        <w:t>Communiquez avec SPEC MAINTENANT pour les seuils de porte personnalisés</w:t>
      </w:r>
    </w:p>
    <w:p w:rsidR="00856D02" w:rsidRPr="00A81A0E" w:rsidRDefault="00A61738" w:rsidP="0072325F">
      <w:pPr>
        <w:pStyle w:val="PR1"/>
        <w:numPr>
          <w:ilvl w:val="4"/>
          <w:numId w:val="30"/>
        </w:numPr>
      </w:pPr>
      <w:r>
        <w:rPr>
          <w:rFonts w:eastAsia="Arial"/>
          <w:lang w:val="fr-CA"/>
        </w:rPr>
        <w:t xml:space="preserve">Seuil de porte :   </w:t>
      </w:r>
    </w:p>
    <w:p w:rsidR="00856D02" w:rsidRPr="00A81A0E" w:rsidRDefault="00A61738" w:rsidP="0072325F">
      <w:pPr>
        <w:pStyle w:val="PR2"/>
        <w:numPr>
          <w:ilvl w:val="5"/>
          <w:numId w:val="30"/>
        </w:numPr>
      </w:pPr>
      <w:r>
        <w:rPr>
          <w:rFonts w:eastAsia="Arial"/>
          <w:lang w:val="fr-CA"/>
        </w:rPr>
        <w:lastRenderedPageBreak/>
        <w:t xml:space="preserve">Seuil de porte coulissante : </w:t>
      </w:r>
      <w:r>
        <w:rPr>
          <w:rFonts w:eastAsia="Arial"/>
          <w:b/>
          <w:bCs/>
          <w:lang w:val="fr-CA"/>
        </w:rPr>
        <w:t xml:space="preserve">[ESA 300] </w:t>
      </w:r>
      <w:r>
        <w:rPr>
          <w:rFonts w:eastAsia="Arial"/>
          <w:lang w:val="fr-CA"/>
        </w:rPr>
        <w:t xml:space="preserve">Système de rails de seuil de porte et de guidage inférieur standard du fabricant, avec une goupille de de 3/8 po de diamètre dans une fente recouverte de polyéthylène. </w:t>
      </w:r>
    </w:p>
    <w:p w:rsidR="00111695" w:rsidRPr="00EF47CB" w:rsidRDefault="00A61738" w:rsidP="0072325F">
      <w:pPr>
        <w:pStyle w:val="PR3"/>
        <w:numPr>
          <w:ilvl w:val="6"/>
          <w:numId w:val="30"/>
        </w:numPr>
        <w:rPr>
          <w:lang w:val="fr-CA"/>
        </w:rPr>
      </w:pPr>
      <w:r>
        <w:rPr>
          <w:rFonts w:eastAsia="Arial"/>
          <w:lang w:val="fr-CA"/>
        </w:rPr>
        <w:t> Configuration : Seuil de porte de type collerette sur l'ouverture de la porte et</w:t>
      </w:r>
      <w:r>
        <w:rPr>
          <w:rFonts w:eastAsia="Arial"/>
          <w:b/>
          <w:bCs/>
          <w:lang w:val="fr-CA"/>
        </w:rPr>
        <w:t xml:space="preserve"> système de rail-guide [encastré] [monté en surface]</w:t>
      </w:r>
      <w:r>
        <w:rPr>
          <w:rFonts w:eastAsia="Arial"/>
          <w:lang w:val="fr-CA"/>
        </w:rPr>
        <w:t xml:space="preserve"> sur les panneaux fixes.</w:t>
      </w:r>
    </w:p>
    <w:p w:rsidR="00111695" w:rsidRPr="00EF47CB" w:rsidRDefault="00A61738" w:rsidP="0072325F">
      <w:pPr>
        <w:pStyle w:val="PR3"/>
        <w:numPr>
          <w:ilvl w:val="6"/>
          <w:numId w:val="30"/>
        </w:numPr>
        <w:rPr>
          <w:lang w:val="fr-CA"/>
        </w:rPr>
      </w:pPr>
      <w:r>
        <w:rPr>
          <w:rFonts w:eastAsia="Arial"/>
          <w:lang w:val="fr-CA"/>
        </w:rPr>
        <w:t> Configuration : Pas de seuil de porte à travers l’ouverture de la porte et système de rail-</w:t>
      </w:r>
      <w:r>
        <w:rPr>
          <w:rFonts w:eastAsia="Arial"/>
          <w:b/>
          <w:bCs/>
          <w:lang w:val="fr-CA"/>
        </w:rPr>
        <w:t xml:space="preserve">guide </w:t>
      </w:r>
      <w:r>
        <w:rPr>
          <w:rFonts w:eastAsia="Arial"/>
          <w:lang w:val="fr-CA"/>
        </w:rPr>
        <w:t>[encastré] [monté en surface] sur les panneaux fixes.</w:t>
      </w:r>
    </w:p>
    <w:p w:rsidR="00111695" w:rsidRPr="00A81A0E" w:rsidRDefault="00111695" w:rsidP="00111695">
      <w:pPr>
        <w:pStyle w:val="PR2"/>
        <w:numPr>
          <w:ilvl w:val="0"/>
          <w:numId w:val="0"/>
        </w:numPr>
        <w:tabs>
          <w:tab w:val="clear" w:pos="1440"/>
        </w:tabs>
        <w:ind w:left="1440"/>
      </w:pPr>
    </w:p>
    <w:p w:rsidR="00856D02" w:rsidRPr="00A81A0E" w:rsidRDefault="00A61738" w:rsidP="0072325F">
      <w:pPr>
        <w:pStyle w:val="PR2"/>
        <w:numPr>
          <w:ilvl w:val="5"/>
          <w:numId w:val="30"/>
        </w:numPr>
      </w:pPr>
      <w:r>
        <w:rPr>
          <w:rFonts w:eastAsia="Arial"/>
          <w:lang w:val="fr-CA"/>
        </w:rPr>
        <w:t xml:space="preserve">Seuil de porte coulissante : </w:t>
      </w:r>
      <w:r>
        <w:rPr>
          <w:rFonts w:eastAsia="Arial"/>
          <w:b/>
          <w:bCs/>
          <w:lang w:val="fr-CA"/>
        </w:rPr>
        <w:t>[ESA 200]</w:t>
      </w:r>
      <w:r>
        <w:rPr>
          <w:rFonts w:eastAsia="Arial"/>
          <w:lang w:val="fr-CA"/>
        </w:rPr>
        <w:t xml:space="preserve"> Système de rails de seuil de porte et de guidage inférieur standard du fabricant, avec un système de guidage inférieur monté en surface avec une roue à roulement à billes de 1 po de diamètre.</w:t>
      </w:r>
    </w:p>
    <w:p w:rsidR="00856D02" w:rsidRPr="00EF47CB" w:rsidRDefault="00A61738" w:rsidP="0072325F">
      <w:pPr>
        <w:pStyle w:val="PR3"/>
        <w:numPr>
          <w:ilvl w:val="6"/>
          <w:numId w:val="30"/>
        </w:numPr>
        <w:rPr>
          <w:lang w:val="fr-CA"/>
        </w:rPr>
      </w:pPr>
      <w:r>
        <w:rPr>
          <w:rFonts w:eastAsia="Arial"/>
          <w:lang w:val="fr-CA"/>
        </w:rPr>
        <w:t> Configuration : Seuil de porte de type collerette sur l'ouverture de la porte et</w:t>
      </w:r>
      <w:r>
        <w:rPr>
          <w:rFonts w:eastAsia="Arial"/>
          <w:b/>
          <w:bCs/>
          <w:lang w:val="fr-CA"/>
        </w:rPr>
        <w:t xml:space="preserve"> </w:t>
      </w:r>
      <w:r w:rsidRPr="00A61738">
        <w:rPr>
          <w:rFonts w:eastAsia="Arial"/>
          <w:bCs/>
          <w:lang w:val="fr-CA"/>
        </w:rPr>
        <w:t>système de rail-guide</w:t>
      </w:r>
      <w:r>
        <w:rPr>
          <w:rFonts w:eastAsia="Arial"/>
          <w:b/>
          <w:bCs/>
          <w:lang w:val="fr-CA"/>
        </w:rPr>
        <w:t xml:space="preserve"> [encastré] [monté en surface]</w:t>
      </w:r>
      <w:r>
        <w:rPr>
          <w:rFonts w:eastAsia="Arial"/>
          <w:lang w:val="fr-CA"/>
        </w:rPr>
        <w:t xml:space="preserve"> sur les panneaux fixes.</w:t>
      </w:r>
    </w:p>
    <w:p w:rsidR="00856D02" w:rsidRPr="00EF47CB" w:rsidRDefault="00A61738" w:rsidP="0072325F">
      <w:pPr>
        <w:pStyle w:val="PR3"/>
        <w:numPr>
          <w:ilvl w:val="6"/>
          <w:numId w:val="30"/>
        </w:numPr>
        <w:rPr>
          <w:lang w:val="fr-CA"/>
        </w:rPr>
      </w:pPr>
      <w:r>
        <w:rPr>
          <w:rFonts w:eastAsia="Arial"/>
          <w:lang w:val="fr-CA"/>
        </w:rPr>
        <w:t> Configuration : Pas de seuil de porte à travers l’ouverture de la porte et système de rail-</w:t>
      </w:r>
      <w:r>
        <w:rPr>
          <w:rFonts w:eastAsia="Arial"/>
          <w:b/>
          <w:bCs/>
          <w:lang w:val="fr-CA"/>
        </w:rPr>
        <w:t xml:space="preserve">guide </w:t>
      </w:r>
      <w:r>
        <w:rPr>
          <w:rFonts w:eastAsia="Arial"/>
          <w:lang w:val="fr-CA"/>
        </w:rPr>
        <w:t>[encastré] [monté en surface] sur les panneaux fixes.</w:t>
      </w:r>
    </w:p>
    <w:p w:rsidR="00856D02" w:rsidRPr="00A81A0E" w:rsidRDefault="00856D02" w:rsidP="00856D02">
      <w:pPr>
        <w:pStyle w:val="PR2"/>
        <w:numPr>
          <w:ilvl w:val="0"/>
          <w:numId w:val="0"/>
        </w:numPr>
      </w:pPr>
    </w:p>
    <w:p w:rsidR="00856D02" w:rsidRPr="00A81A0E" w:rsidRDefault="00A61738" w:rsidP="0072325F">
      <w:pPr>
        <w:pStyle w:val="ART"/>
        <w:numPr>
          <w:ilvl w:val="3"/>
          <w:numId w:val="30"/>
        </w:numPr>
        <w:spacing w:before="480"/>
      </w:pPr>
      <w:r>
        <w:rPr>
          <w:rFonts w:eastAsia="Arial"/>
          <w:lang w:val="fr-CA"/>
        </w:rPr>
        <w:t>FINIS EN ALUMINIUM</w:t>
      </w:r>
    </w:p>
    <w:p w:rsidR="00856D02" w:rsidRPr="00A81A0E" w:rsidRDefault="00A61738" w:rsidP="0072325F">
      <w:pPr>
        <w:pStyle w:val="PR1"/>
        <w:numPr>
          <w:ilvl w:val="4"/>
          <w:numId w:val="30"/>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A81A0E" w:rsidRDefault="00A61738" w:rsidP="0072325F">
      <w:pPr>
        <w:pStyle w:val="PR1"/>
        <w:numPr>
          <w:ilvl w:val="4"/>
          <w:numId w:val="30"/>
        </w:numPr>
      </w:pPr>
      <w:r>
        <w:rPr>
          <w:rFonts w:eastAsia="Arial"/>
          <w:lang w:val="fr-CA"/>
        </w:rPr>
        <w:t>Fini anodisé :</w:t>
      </w:r>
    </w:p>
    <w:p w:rsidR="00856D02" w:rsidRPr="00A81A0E" w:rsidRDefault="00A61738" w:rsidP="0072325F">
      <w:pPr>
        <w:pStyle w:val="PR2"/>
        <w:numPr>
          <w:ilvl w:val="5"/>
          <w:numId w:val="30"/>
        </w:numPr>
        <w:jc w:val="left"/>
        <w:rPr>
          <w:b/>
        </w:rPr>
      </w:pPr>
      <w:r>
        <w:rPr>
          <w:rFonts w:eastAsia="Arial"/>
          <w:b/>
          <w:bCs/>
          <w:lang w:val="fr-CA"/>
        </w:rPr>
        <w:t>[Fini anodique transparent : AAMA 611, AA-M12C22A31, Classe II, 0,010 mm].</w:t>
      </w:r>
    </w:p>
    <w:p w:rsidR="00856D02" w:rsidRPr="00A81A0E" w:rsidRDefault="00A61738" w:rsidP="0072325F">
      <w:pPr>
        <w:pStyle w:val="PR2"/>
        <w:numPr>
          <w:ilvl w:val="5"/>
          <w:numId w:val="30"/>
        </w:numPr>
        <w:jc w:val="left"/>
        <w:rPr>
          <w:b/>
        </w:rPr>
      </w:pPr>
      <w:r w:rsidRPr="0072325F">
        <w:rPr>
          <w:rFonts w:eastAsia="Arial"/>
          <w:b/>
          <w:bCs/>
          <w:lang w:val="it-IT"/>
        </w:rPr>
        <w:t>[Fini anodique bronze foncé :  AAMA 611, AA-M12C22A44, Classe I, 0,018 mm].</w:t>
      </w:r>
    </w:p>
    <w:p w:rsidR="00856D02" w:rsidRPr="00A81A0E" w:rsidRDefault="00A61738" w:rsidP="0072325F">
      <w:pPr>
        <w:pStyle w:val="PR2"/>
        <w:numPr>
          <w:ilvl w:val="5"/>
          <w:numId w:val="30"/>
        </w:numPr>
        <w:jc w:val="left"/>
        <w:rPr>
          <w:b/>
        </w:rPr>
      </w:pPr>
      <w:r>
        <w:rPr>
          <w:rFonts w:eastAsia="Arial"/>
          <w:b/>
          <w:bCs/>
          <w:lang w:val="fr-CA"/>
        </w:rPr>
        <w:t>[Fini anodique de couleur : AAMA 611, AA-M12C22A44, Classe I, 0,018 mm]. [</w:t>
      </w:r>
      <w:r w:rsidR="00610FE0">
        <w:rPr>
          <w:rFonts w:eastAsia="Arial"/>
          <w:b/>
          <w:bCs/>
          <w:lang w:val="fr-CA"/>
        </w:rPr>
        <w:t xml:space="preserve">Correspondant à </w:t>
      </w:r>
      <w:r>
        <w:rPr>
          <w:rFonts w:eastAsia="Arial"/>
          <w:b/>
          <w:bCs/>
          <w:lang w:val="fr-CA"/>
        </w:rPr>
        <w:t>l’échantillon de l’architecte]</w:t>
      </w:r>
    </w:p>
    <w:p w:rsidR="00856D02" w:rsidRPr="00A81A0E" w:rsidRDefault="00A61738" w:rsidP="0072325F">
      <w:pPr>
        <w:pStyle w:val="PR1"/>
        <w:numPr>
          <w:ilvl w:val="4"/>
          <w:numId w:val="30"/>
        </w:numPr>
      </w:pPr>
      <w:r>
        <w:rPr>
          <w:rFonts w:eastAsia="Arial"/>
          <w:lang w:val="fr-CA"/>
        </w:rPr>
        <w:t>Fini peint :</w:t>
      </w:r>
    </w:p>
    <w:p w:rsidR="00856D02" w:rsidRPr="00A81A0E" w:rsidRDefault="00A61738" w:rsidP="0072325F">
      <w:pPr>
        <w:pStyle w:val="PR2"/>
        <w:numPr>
          <w:ilvl w:val="5"/>
          <w:numId w:val="30"/>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A81A0E" w:rsidRDefault="00A61738" w:rsidP="0072325F">
      <w:pPr>
        <w:pStyle w:val="PR2"/>
        <w:numPr>
          <w:ilvl w:val="5"/>
          <w:numId w:val="30"/>
        </w:numPr>
        <w:rPr>
          <w:b/>
        </w:rPr>
      </w:pPr>
      <w:r>
        <w:rPr>
          <w:rFonts w:eastAsia="Arial"/>
          <w:b/>
          <w:bCs/>
          <w:lang w:val="fr-CA"/>
        </w:rPr>
        <w:t xml:space="preserve">Fini de peinture </w:t>
      </w:r>
      <w:proofErr w:type="spellStart"/>
      <w:r>
        <w:rPr>
          <w:rFonts w:eastAsia="Arial"/>
          <w:b/>
          <w:bCs/>
          <w:lang w:val="fr-CA"/>
        </w:rPr>
        <w:t>Kynar</w:t>
      </w:r>
      <w:proofErr w:type="spellEnd"/>
      <w:r>
        <w:rPr>
          <w:rFonts w:eastAsia="Arial"/>
          <w:b/>
          <w:bCs/>
          <w:lang w:val="fr-CA"/>
        </w:rPr>
        <w:t>, [2 couches] [3 couches] [</w:t>
      </w:r>
      <w:r w:rsidR="00610FE0">
        <w:rPr>
          <w:rFonts w:eastAsia="Arial"/>
          <w:b/>
          <w:bCs/>
          <w:lang w:val="fr-CA"/>
        </w:rPr>
        <w:t>C</w:t>
      </w:r>
      <w:r>
        <w:rPr>
          <w:rFonts w:eastAsia="Arial"/>
          <w:b/>
          <w:bCs/>
          <w:lang w:val="fr-CA"/>
        </w:rPr>
        <w:t>orrespondant à l'échantillon de l’architecte]</w:t>
      </w:r>
    </w:p>
    <w:p w:rsidR="00856D02" w:rsidRPr="00A81A0E" w:rsidRDefault="00A61738" w:rsidP="0072325F">
      <w:pPr>
        <w:pStyle w:val="PR1"/>
        <w:numPr>
          <w:ilvl w:val="4"/>
          <w:numId w:val="30"/>
        </w:numPr>
      </w:pPr>
      <w:r>
        <w:rPr>
          <w:rFonts w:eastAsia="Arial"/>
          <w:lang w:val="fr-CA"/>
        </w:rPr>
        <w:t xml:space="preserve">Fini de recouvrement : Le recouvrement doit être fini en usine dans les installations du fabricant à l’aide d’une surface de panneau </w:t>
      </w:r>
      <w:r w:rsidRPr="00610FE0">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A81A0E" w:rsidRDefault="00A61738" w:rsidP="0072325F">
      <w:pPr>
        <w:pStyle w:val="PR2"/>
        <w:numPr>
          <w:ilvl w:val="5"/>
          <w:numId w:val="30"/>
        </w:numPr>
        <w:rPr>
          <w:b/>
        </w:rPr>
      </w:pPr>
      <w:r>
        <w:rPr>
          <w:rFonts w:eastAsia="Arial"/>
          <w:b/>
          <w:bCs/>
          <w:lang w:val="fr-CA"/>
        </w:rPr>
        <w:t>[Acier inoxydable avec fini satiné no 4]</w:t>
      </w:r>
    </w:p>
    <w:p w:rsidR="00856D02" w:rsidRPr="00A81A0E" w:rsidRDefault="00A61738" w:rsidP="0072325F">
      <w:pPr>
        <w:pStyle w:val="PR2"/>
        <w:numPr>
          <w:ilvl w:val="5"/>
          <w:numId w:val="30"/>
        </w:numPr>
        <w:rPr>
          <w:b/>
        </w:rPr>
      </w:pPr>
      <w:r>
        <w:rPr>
          <w:rFonts w:eastAsia="Arial"/>
          <w:b/>
          <w:bCs/>
          <w:lang w:val="fr-CA"/>
        </w:rPr>
        <w:t>[Acier inoxydable avec fini effet miroir no 8]</w:t>
      </w:r>
    </w:p>
    <w:p w:rsidR="00856D02" w:rsidRPr="00A81A0E" w:rsidRDefault="00A61738" w:rsidP="0072325F">
      <w:pPr>
        <w:pStyle w:val="PR2"/>
        <w:numPr>
          <w:ilvl w:val="5"/>
          <w:numId w:val="30"/>
        </w:numPr>
        <w:rPr>
          <w:b/>
        </w:rPr>
      </w:pPr>
      <w:r>
        <w:rPr>
          <w:rFonts w:eastAsia="Arial"/>
          <w:b/>
          <w:bCs/>
          <w:lang w:val="fr-CA"/>
        </w:rPr>
        <w:t>[Bronze avec fini satiné]</w:t>
      </w:r>
    </w:p>
    <w:p w:rsidR="00856D02" w:rsidRPr="00A81A0E" w:rsidRDefault="00A61738" w:rsidP="0072325F">
      <w:pPr>
        <w:pStyle w:val="PR2"/>
        <w:numPr>
          <w:ilvl w:val="5"/>
          <w:numId w:val="30"/>
        </w:numPr>
        <w:rPr>
          <w:b/>
        </w:rPr>
      </w:pPr>
      <w:r>
        <w:rPr>
          <w:rFonts w:eastAsia="Arial"/>
          <w:b/>
          <w:bCs/>
          <w:lang w:val="fr-CA"/>
        </w:rPr>
        <w:t>[Bronze avec fini poli non directionnel]</w:t>
      </w:r>
    </w:p>
    <w:p w:rsidR="00856D02" w:rsidRPr="00A81A0E" w:rsidRDefault="00A61738" w:rsidP="0072325F">
      <w:pPr>
        <w:pStyle w:val="PR2"/>
        <w:numPr>
          <w:ilvl w:val="5"/>
          <w:numId w:val="30"/>
        </w:numPr>
        <w:rPr>
          <w:b/>
        </w:rPr>
      </w:pPr>
      <w:r>
        <w:rPr>
          <w:rFonts w:eastAsia="Arial"/>
          <w:b/>
          <w:bCs/>
          <w:lang w:val="fr-CA"/>
        </w:rPr>
        <w:t>[Laiton avec fini satiné]</w:t>
      </w:r>
    </w:p>
    <w:p w:rsidR="00856D02" w:rsidRPr="00A81A0E" w:rsidRDefault="00A61738" w:rsidP="0072325F">
      <w:pPr>
        <w:pStyle w:val="PR2"/>
        <w:numPr>
          <w:ilvl w:val="5"/>
          <w:numId w:val="30"/>
        </w:numPr>
        <w:rPr>
          <w:b/>
        </w:rPr>
      </w:pPr>
      <w:r>
        <w:rPr>
          <w:rFonts w:eastAsia="Arial"/>
          <w:b/>
          <w:bCs/>
          <w:lang w:val="fr-CA"/>
        </w:rPr>
        <w:t>[Laiton avec fini poli non directionnel]</w:t>
      </w:r>
    </w:p>
    <w:p w:rsidR="00167E3B" w:rsidRPr="00A81A0E" w:rsidRDefault="00167E3B" w:rsidP="00167E3B">
      <w:pPr>
        <w:pStyle w:val="PR2"/>
        <w:numPr>
          <w:ilvl w:val="0"/>
          <w:numId w:val="0"/>
        </w:numPr>
        <w:ind w:left="1440"/>
        <w:rPr>
          <w:b/>
        </w:rPr>
      </w:pPr>
    </w:p>
    <w:p w:rsidR="00856D02" w:rsidRPr="00EF47CB" w:rsidRDefault="00A61738" w:rsidP="00167E3B">
      <w:pPr>
        <w:pStyle w:val="CMTGreen"/>
        <w:rPr>
          <w:lang w:val="fr-CA"/>
        </w:rPr>
      </w:pPr>
      <w:r>
        <w:rPr>
          <w:rFonts w:eastAsia="Arial"/>
          <w:szCs w:val="18"/>
          <w:lang w:val="fr-CA"/>
        </w:rPr>
        <w:lastRenderedPageBreak/>
        <w:t>Consultez le Centre SPEC NOW pour connaître les options de fini personnalisées.</w:t>
      </w:r>
    </w:p>
    <w:p w:rsidR="006327F3" w:rsidRPr="00D7504E" w:rsidRDefault="00A61738" w:rsidP="001B00C1">
      <w:pPr>
        <w:pStyle w:val="PR1"/>
        <w:numPr>
          <w:ilvl w:val="0"/>
          <w:numId w:val="30"/>
        </w:numPr>
        <w:spacing w:before="480"/>
        <w:rPr>
          <w:rFonts w:eastAsia="Arial"/>
          <w:lang w:val="fr-CA"/>
        </w:rPr>
      </w:pPr>
      <w:r>
        <w:rPr>
          <w:rFonts w:eastAsia="Arial"/>
          <w:lang w:val="fr-CA"/>
        </w:rPr>
        <w:t>EXÉC</w:t>
      </w:r>
      <w:bookmarkStart w:id="3" w:name="_GoBack"/>
      <w:bookmarkEnd w:id="3"/>
      <w:r>
        <w:rPr>
          <w:rFonts w:eastAsia="Arial"/>
          <w:lang w:val="fr-CA"/>
        </w:rPr>
        <w:t>UTION</w:t>
      </w:r>
    </w:p>
    <w:p w:rsidR="006327F3" w:rsidRPr="00433CFB" w:rsidRDefault="00A61738" w:rsidP="006327F3">
      <w:pPr>
        <w:pStyle w:val="ART"/>
        <w:numPr>
          <w:ilvl w:val="3"/>
          <w:numId w:val="29"/>
        </w:numPr>
        <w:tabs>
          <w:tab w:val="num" w:pos="864"/>
        </w:tabs>
        <w:spacing w:before="480"/>
      </w:pPr>
      <w:r>
        <w:rPr>
          <w:rFonts w:eastAsia="Arial"/>
          <w:lang w:val="fr-CA"/>
        </w:rPr>
        <w:t>EXAMEN</w:t>
      </w:r>
    </w:p>
    <w:p w:rsidR="006327F3" w:rsidRPr="00433CFB" w:rsidRDefault="00A61738"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433CFB" w:rsidRDefault="00A61738"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433CFB" w:rsidRDefault="00A61738"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433CFB" w:rsidRDefault="00A61738" w:rsidP="0072325F">
      <w:pPr>
        <w:pStyle w:val="ART"/>
        <w:numPr>
          <w:ilvl w:val="3"/>
          <w:numId w:val="30"/>
        </w:numPr>
        <w:spacing w:before="480"/>
      </w:pPr>
      <w:r>
        <w:rPr>
          <w:rFonts w:eastAsia="Arial"/>
          <w:lang w:val="fr-CA"/>
        </w:rPr>
        <w:t>INSTALLATION</w:t>
      </w:r>
    </w:p>
    <w:p w:rsidR="006327F3" w:rsidRPr="00433CFB" w:rsidRDefault="00A61738" w:rsidP="0072325F">
      <w:pPr>
        <w:pStyle w:val="PR1"/>
        <w:numPr>
          <w:ilvl w:val="4"/>
          <w:numId w:val="30"/>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433CFB" w:rsidRDefault="00A61738" w:rsidP="0072325F">
      <w:pPr>
        <w:pStyle w:val="PR1"/>
        <w:numPr>
          <w:ilvl w:val="4"/>
          <w:numId w:val="30"/>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433CFB" w:rsidRDefault="00A61738" w:rsidP="0072325F">
      <w:pPr>
        <w:pStyle w:val="PR2"/>
        <w:numPr>
          <w:ilvl w:val="5"/>
          <w:numId w:val="30"/>
        </w:numPr>
      </w:pPr>
      <w:r>
        <w:rPr>
          <w:rFonts w:eastAsia="Arial"/>
          <w:lang w:val="fr-CA"/>
        </w:rPr>
        <w:t>Installer la quincaillerie montée en surface à l’aide d’attaches dissimulées dans la mesure du possible.</w:t>
      </w:r>
    </w:p>
    <w:p w:rsidR="006327F3" w:rsidRPr="00433CFB" w:rsidRDefault="00A61738" w:rsidP="0072325F">
      <w:pPr>
        <w:pStyle w:val="PR2"/>
        <w:numPr>
          <w:ilvl w:val="5"/>
          <w:numId w:val="30"/>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433CFB" w:rsidRDefault="00A61738" w:rsidP="0072325F">
      <w:pPr>
        <w:pStyle w:val="PR1"/>
        <w:numPr>
          <w:ilvl w:val="4"/>
          <w:numId w:val="30"/>
        </w:numPr>
      </w:pPr>
      <w:r>
        <w:rPr>
          <w:rFonts w:eastAsia="Arial"/>
          <w:lang w:val="fr-CA"/>
        </w:rPr>
        <w:t>Actionneurs de porte :  Connecter les actionneurs de porte au système de distribution électrique tel que spécifié dans les sections Division 26.</w:t>
      </w:r>
    </w:p>
    <w:p w:rsidR="006327F3" w:rsidRPr="00433CFB" w:rsidRDefault="00A61738" w:rsidP="0072325F">
      <w:pPr>
        <w:pStyle w:val="PR1"/>
        <w:numPr>
          <w:ilvl w:val="4"/>
          <w:numId w:val="30"/>
        </w:numPr>
      </w:pPr>
      <w:r>
        <w:rPr>
          <w:rFonts w:eastAsia="Arial"/>
          <w:lang w:val="fr-CA"/>
        </w:rPr>
        <w:t>Vitrage :  Installer le vitrage tel que spécifié dans la Division 08 Section Vitrage selon les instructions du fabricant de porte automatique.</w:t>
      </w:r>
    </w:p>
    <w:p w:rsidR="006327F3" w:rsidRPr="00433CFB" w:rsidRDefault="00A61738" w:rsidP="0072325F">
      <w:pPr>
        <w:pStyle w:val="PR1"/>
        <w:numPr>
          <w:ilvl w:val="4"/>
          <w:numId w:val="30"/>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une installation étanche aux intempéries.</w:t>
      </w:r>
    </w:p>
    <w:p w:rsidR="006327F3" w:rsidRPr="00433CFB" w:rsidRDefault="00A61738" w:rsidP="0072325F">
      <w:pPr>
        <w:pStyle w:val="PR1"/>
        <w:numPr>
          <w:ilvl w:val="4"/>
          <w:numId w:val="30"/>
        </w:numPr>
      </w:pPr>
      <w:r>
        <w:rPr>
          <w:rFonts w:eastAsia="Arial"/>
          <w:lang w:val="fr-CA"/>
        </w:rPr>
        <w:t>Signalisation :  Installer une signalisation des deux côtés de chaque porte et de chaque panneau fixe, tel qu’exigé par la norme ANSI/BHMA A 156.10</w:t>
      </w:r>
    </w:p>
    <w:p w:rsidR="006327F3" w:rsidRPr="00EF47CB" w:rsidRDefault="00A61738" w:rsidP="0072325F">
      <w:pPr>
        <w:pStyle w:val="ART"/>
        <w:numPr>
          <w:ilvl w:val="3"/>
          <w:numId w:val="30"/>
        </w:numPr>
        <w:spacing w:before="480"/>
        <w:rPr>
          <w:lang w:val="fr-CA"/>
        </w:rPr>
      </w:pPr>
      <w:r>
        <w:rPr>
          <w:rFonts w:eastAsia="Arial"/>
          <w:lang w:val="fr-CA"/>
        </w:rPr>
        <w:lastRenderedPageBreak/>
        <w:t>CONTRÔLE DE LA QUALITÉ SUR LE TERRAIN</w:t>
      </w:r>
    </w:p>
    <w:p w:rsidR="006327F3" w:rsidRPr="00433CFB" w:rsidRDefault="00A61738" w:rsidP="0072325F">
      <w:pPr>
        <w:pStyle w:val="PR1"/>
        <w:numPr>
          <w:ilvl w:val="4"/>
          <w:numId w:val="30"/>
        </w:numPr>
      </w:pPr>
      <w:r>
        <w:rPr>
          <w:rFonts w:eastAsia="Arial"/>
          <w:lang w:val="fr-CA"/>
        </w:rPr>
        <w:t xml:space="preserve">Le représentant du fabricant doit fournir une assistance technique et des conseils pour l’installation des portes automatiques.  </w:t>
      </w:r>
    </w:p>
    <w:p w:rsidR="006327F3" w:rsidRPr="00433CFB" w:rsidRDefault="00A61738" w:rsidP="0072325F">
      <w:pPr>
        <w:pStyle w:val="PR2"/>
        <w:numPr>
          <w:ilvl w:val="5"/>
          <w:numId w:val="30"/>
        </w:numPr>
      </w:pPr>
      <w:r>
        <w:rPr>
          <w:rFonts w:eastAsia="Arial"/>
          <w:lang w:val="fr-CA"/>
        </w:rPr>
        <w:t>Un représentant formé en usine et certifié AADM doit tester et inspecter chaque porte automatique pour déterminer la conformité du système installé à la norme ANSI/BHMA A 156.10</w:t>
      </w:r>
    </w:p>
    <w:p w:rsidR="006327F3" w:rsidRPr="00433CFB" w:rsidRDefault="00A61738" w:rsidP="0072325F">
      <w:pPr>
        <w:pStyle w:val="ART"/>
        <w:numPr>
          <w:ilvl w:val="3"/>
          <w:numId w:val="30"/>
        </w:numPr>
        <w:spacing w:before="480"/>
      </w:pPr>
      <w:r>
        <w:rPr>
          <w:rFonts w:eastAsia="Arial"/>
          <w:lang w:val="fr-CA"/>
        </w:rPr>
        <w:t>RÉGLAGE</w:t>
      </w:r>
    </w:p>
    <w:p w:rsidR="006327F3" w:rsidRPr="00433CFB" w:rsidRDefault="00A61738" w:rsidP="0072325F">
      <w:pPr>
        <w:pStyle w:val="PR1"/>
        <w:numPr>
          <w:ilvl w:val="4"/>
          <w:numId w:val="30"/>
        </w:numPr>
      </w:pPr>
      <w:r>
        <w:rPr>
          <w:rFonts w:eastAsia="Arial"/>
          <w:lang w:val="fr-CA"/>
        </w:rPr>
        <w:t>Ajuster les actionneurs de porte, les commandes et la quincaillerie pour un fonctionnement en douceur et sécuritaire et pour une fermeture étanche aux intempéries; se conformer aux exigences de la norme ANSI/A156.10</w:t>
      </w:r>
    </w:p>
    <w:p w:rsidR="006327F3" w:rsidRPr="00433CFB" w:rsidRDefault="00A61738" w:rsidP="0072325F">
      <w:pPr>
        <w:pStyle w:val="ART"/>
        <w:numPr>
          <w:ilvl w:val="3"/>
          <w:numId w:val="30"/>
        </w:numPr>
        <w:spacing w:before="480"/>
      </w:pPr>
      <w:r>
        <w:rPr>
          <w:rFonts w:eastAsia="Arial"/>
          <w:lang w:val="fr-CA"/>
        </w:rPr>
        <w:t>NETTOYAGE ET PROTECTION</w:t>
      </w:r>
    </w:p>
    <w:p w:rsidR="006327F3" w:rsidRPr="00433CFB" w:rsidRDefault="00A61738" w:rsidP="0072325F">
      <w:pPr>
        <w:pStyle w:val="PR1"/>
        <w:numPr>
          <w:ilvl w:val="4"/>
          <w:numId w:val="30"/>
        </w:numPr>
      </w:pPr>
      <w:r>
        <w:rPr>
          <w:rFonts w:eastAsia="Arial"/>
          <w:lang w:val="fr-CA"/>
        </w:rPr>
        <w:t>Nettoyer les surfaces en verre et en métal rapidement après l’installation.  Enlever l’excès de produits de vitrage et de scellant, la saleté et les autres substances.  Réparer le fini endommagé pour qu’il corresponde au fini d’origine.</w:t>
      </w:r>
    </w:p>
    <w:p w:rsidR="006327F3" w:rsidRPr="00433CFB" w:rsidRDefault="00A61738" w:rsidP="0072325F">
      <w:pPr>
        <w:pStyle w:val="PR2"/>
        <w:numPr>
          <w:ilvl w:val="5"/>
          <w:numId w:val="30"/>
        </w:numPr>
      </w:pPr>
      <w:r>
        <w:rPr>
          <w:rFonts w:eastAsia="Arial"/>
          <w:lang w:val="fr-CA"/>
        </w:rPr>
        <w:t>Se conformer aux exigences de la section « Vitrage » de la Division 08 pour le nettoyage et l’entretien du verre.</w:t>
      </w:r>
    </w:p>
    <w:p w:rsidR="006327F3" w:rsidRPr="00433CFB" w:rsidRDefault="00A61738" w:rsidP="0072325F">
      <w:pPr>
        <w:pStyle w:val="ART"/>
        <w:numPr>
          <w:ilvl w:val="3"/>
          <w:numId w:val="30"/>
        </w:numPr>
        <w:spacing w:before="480"/>
      </w:pPr>
      <w:r>
        <w:rPr>
          <w:rFonts w:eastAsia="Arial"/>
          <w:lang w:val="fr-CA"/>
        </w:rPr>
        <w:t>DÉMONSTRATION</w:t>
      </w:r>
    </w:p>
    <w:p w:rsidR="006327F3" w:rsidRPr="00433CFB" w:rsidRDefault="00A61738" w:rsidP="0072325F">
      <w:pPr>
        <w:pStyle w:val="PR1"/>
        <w:numPr>
          <w:ilvl w:val="4"/>
          <w:numId w:val="30"/>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433CFB" w:rsidRDefault="00A61738" w:rsidP="006327F3">
      <w:pPr>
        <w:pStyle w:val="EOS"/>
      </w:pPr>
      <w:r>
        <w:rPr>
          <w:rFonts w:eastAsia="Arial"/>
          <w:lang w:val="fr-CA"/>
        </w:rPr>
        <w:t>FIN DE LA SECTION 084229</w:t>
      </w:r>
    </w:p>
    <w:p w:rsidR="006327F3" w:rsidRPr="006327F3" w:rsidRDefault="006327F3" w:rsidP="006327F3">
      <w:pPr>
        <w:pStyle w:val="ART"/>
        <w:numPr>
          <w:ilvl w:val="0"/>
          <w:numId w:val="0"/>
        </w:numPr>
      </w:pP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57" w:rsidRDefault="00512957">
      <w:r>
        <w:separator/>
      </w:r>
    </w:p>
  </w:endnote>
  <w:endnote w:type="continuationSeparator" w:id="0">
    <w:p w:rsidR="00512957" w:rsidRDefault="005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F" w:rsidRDefault="00C86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EF47CB" w:rsidRDefault="00A61738"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08 42 29 </w:t>
    </w:r>
    <w:r>
      <w:rPr>
        <w:rFonts w:eastAsia="Arial"/>
        <w:lang w:val="fr-CA"/>
      </w:rPr>
      <w:tab/>
      <w:t>ENTRÉES À PORTES COULISSANTES</w:t>
    </w:r>
  </w:p>
  <w:p w:rsidR="00DA2B87" w:rsidRPr="00EF47CB" w:rsidRDefault="00A61738" w:rsidP="002005DE">
    <w:pPr>
      <w:tabs>
        <w:tab w:val="center" w:pos="4320"/>
        <w:tab w:val="right" w:pos="9270"/>
      </w:tabs>
      <w:rPr>
        <w:lang w:val="fr-CA"/>
      </w:rPr>
    </w:pPr>
    <w:r>
      <w:rPr>
        <w:rFonts w:eastAsia="Arial"/>
        <w:lang w:val="fr-CA"/>
      </w:rPr>
      <w:t>Séries ESA 200/300</w:t>
    </w:r>
    <w:r>
      <w:rPr>
        <w:rFonts w:eastAsia="Arial"/>
        <w:lang w:val="fr-CA"/>
      </w:rPr>
      <w:tab/>
      <w:t xml:space="preserve">Page </w:t>
    </w:r>
    <w:r w:rsidRPr="00E0209F">
      <w:rPr>
        <w:rStyle w:val="PageNumber"/>
      </w:rPr>
      <w:fldChar w:fldCharType="begin"/>
    </w:r>
    <w:r w:rsidRPr="00EF47CB">
      <w:rPr>
        <w:rStyle w:val="PageNumber"/>
        <w:lang w:val="fr-CA"/>
      </w:rPr>
      <w:instrText xml:space="preserve"> PAGE </w:instrText>
    </w:r>
    <w:r w:rsidRPr="00E0209F">
      <w:rPr>
        <w:rStyle w:val="PageNumber"/>
      </w:rPr>
      <w:fldChar w:fldCharType="separate"/>
    </w:r>
    <w:r w:rsidR="001B00C1">
      <w:rPr>
        <w:rStyle w:val="PageNumber"/>
        <w:noProof/>
        <w:lang w:val="fr-CA"/>
      </w:rPr>
      <w:t>11</w:t>
    </w:r>
    <w:r w:rsidRPr="00E0209F">
      <w:rPr>
        <w:rStyle w:val="PageNumber"/>
      </w:rPr>
      <w:fldChar w:fldCharType="end"/>
    </w:r>
    <w:r>
      <w:rPr>
        <w:rFonts w:eastAsia="Arial"/>
        <w:lang w:val="fr-CA"/>
      </w:rPr>
      <w:t xml:space="preserve"> sur </w:t>
    </w:r>
    <w:r w:rsidRPr="00E0209F">
      <w:rPr>
        <w:rStyle w:val="PageNumber"/>
      </w:rPr>
      <w:fldChar w:fldCharType="begin"/>
    </w:r>
    <w:r w:rsidRPr="00EF47CB">
      <w:rPr>
        <w:rStyle w:val="PageNumber"/>
        <w:lang w:val="fr-CA"/>
      </w:rPr>
      <w:instrText xml:space="preserve"> NUMPAGES </w:instrText>
    </w:r>
    <w:r w:rsidRPr="00E0209F">
      <w:rPr>
        <w:rStyle w:val="PageNumber"/>
      </w:rPr>
      <w:fldChar w:fldCharType="separate"/>
    </w:r>
    <w:r w:rsidR="001B00C1">
      <w:rPr>
        <w:rStyle w:val="PageNumber"/>
        <w:noProof/>
        <w:lang w:val="fr-CA"/>
      </w:rPr>
      <w:t>12</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F" w:rsidRDefault="00C8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57" w:rsidRDefault="00512957">
      <w:r>
        <w:separator/>
      </w:r>
    </w:p>
  </w:footnote>
  <w:footnote w:type="continuationSeparator" w:id="0">
    <w:p w:rsidR="00512957" w:rsidRDefault="0051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F" w:rsidRDefault="00C8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A61738"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11532</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A61738" w:rsidP="00F87506">
    <w:pPr>
      <w:pStyle w:val="Header"/>
      <w:tabs>
        <w:tab w:val="clear" w:pos="8640"/>
        <w:tab w:val="right" w:pos="9360"/>
      </w:tabs>
      <w:rPr>
        <w:sz w:val="24"/>
      </w:rPr>
    </w:pPr>
    <w:r>
      <w:rPr>
        <w:rFonts w:eastAsia="Arial"/>
        <w:sz w:val="24"/>
        <w:szCs w:val="24"/>
        <w:lang w:val="fr-CA"/>
      </w:rPr>
      <w:t>1 844 SPEC-NOW</w:t>
    </w:r>
  </w:p>
  <w:p w:rsidR="00F87506" w:rsidRDefault="00A61738"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EF47CB" w:rsidRDefault="00C8660F" w:rsidP="00F87506">
    <w:pPr>
      <w:pStyle w:val="Header"/>
      <w:tabs>
        <w:tab w:val="clear" w:pos="8640"/>
        <w:tab w:val="right" w:pos="9360"/>
      </w:tabs>
      <w:rPr>
        <w:b/>
        <w:sz w:val="24"/>
        <w:lang w:val="fr-CA"/>
      </w:rPr>
    </w:pPr>
    <w:r>
      <w:rPr>
        <w:rFonts w:eastAsia="Arial"/>
        <w:b/>
        <w:bCs/>
        <w:sz w:val="24"/>
        <w:szCs w:val="24"/>
        <w:lang w:val="fr-CA"/>
      </w:rPr>
      <w:t>[CABINET D’ARCHITECTES</w:t>
    </w:r>
    <w:r w:rsidR="00A61738">
      <w:rPr>
        <w:rFonts w:eastAsia="Arial"/>
        <w:b/>
        <w:bCs/>
        <w:sz w:val="24"/>
        <w:szCs w:val="24"/>
        <w:lang w:val="fr-CA"/>
      </w:rPr>
      <w:t>]</w:t>
    </w:r>
    <w:r w:rsidR="00A61738">
      <w:rPr>
        <w:rFonts w:eastAsia="Arial"/>
        <w:b/>
        <w:bCs/>
        <w:sz w:val="24"/>
        <w:szCs w:val="24"/>
        <w:lang w:val="fr-CA"/>
      </w:rPr>
      <w:tab/>
    </w:r>
    <w:r w:rsidR="00A61738">
      <w:rPr>
        <w:rFonts w:eastAsia="Arial"/>
        <w:b/>
        <w:bCs/>
        <w:sz w:val="24"/>
        <w:szCs w:val="24"/>
        <w:lang w:val="fr-CA"/>
      </w:rPr>
      <w:tab/>
    </w:r>
    <w:proofErr w:type="spellStart"/>
    <w:r w:rsidR="00A61738">
      <w:rPr>
        <w:rFonts w:eastAsia="Arial"/>
        <w:b/>
        <w:bCs/>
        <w:sz w:val="24"/>
        <w:szCs w:val="24"/>
        <w:lang w:val="fr-CA"/>
      </w:rPr>
      <w:t>dormakaba</w:t>
    </w:r>
    <w:proofErr w:type="spellEnd"/>
    <w:r w:rsidR="00A61738">
      <w:rPr>
        <w:rFonts w:eastAsia="Arial"/>
        <w:b/>
        <w:bCs/>
        <w:sz w:val="24"/>
        <w:szCs w:val="24"/>
        <w:lang w:val="fr-CA"/>
      </w:rPr>
      <w:t xml:space="preserve"> ESA 200/300</w:t>
    </w:r>
  </w:p>
  <w:p w:rsidR="00F87506" w:rsidRPr="00EF47CB" w:rsidRDefault="00A61738"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COULISSANTES AUTOMATIQUES</w:t>
    </w:r>
  </w:p>
  <w:p w:rsidR="00856D02" w:rsidRPr="00EF47CB" w:rsidRDefault="00856D02" w:rsidP="00F87506">
    <w:pPr>
      <w:pStyle w:val="Header"/>
      <w:tabs>
        <w:tab w:val="clear" w:pos="8640"/>
        <w:tab w:val="right" w:pos="9360"/>
      </w:tabs>
      <w:rPr>
        <w:b/>
        <w:sz w:val="24"/>
        <w:lang w:val="fr-CA"/>
      </w:rPr>
    </w:pPr>
  </w:p>
  <w:p w:rsidR="004737E4" w:rsidRPr="00EF47CB"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F" w:rsidRDefault="00C86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889654"/>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6E9495E8">
      <w:start w:val="1"/>
      <w:numFmt w:val="decimal"/>
      <w:lvlText w:val="%1)"/>
      <w:lvlJc w:val="left"/>
      <w:pPr>
        <w:ind w:left="2700" w:hanging="360"/>
      </w:pPr>
    </w:lvl>
    <w:lvl w:ilvl="1" w:tplc="53124630" w:tentative="1">
      <w:start w:val="1"/>
      <w:numFmt w:val="lowerLetter"/>
      <w:lvlText w:val="%2."/>
      <w:lvlJc w:val="left"/>
      <w:pPr>
        <w:ind w:left="3420" w:hanging="360"/>
      </w:pPr>
    </w:lvl>
    <w:lvl w:ilvl="2" w:tplc="34C0287A" w:tentative="1">
      <w:start w:val="1"/>
      <w:numFmt w:val="lowerRoman"/>
      <w:lvlText w:val="%3."/>
      <w:lvlJc w:val="right"/>
      <w:pPr>
        <w:ind w:left="4140" w:hanging="180"/>
      </w:pPr>
    </w:lvl>
    <w:lvl w:ilvl="3" w:tplc="41D028CE" w:tentative="1">
      <w:start w:val="1"/>
      <w:numFmt w:val="decimal"/>
      <w:lvlText w:val="%4."/>
      <w:lvlJc w:val="left"/>
      <w:pPr>
        <w:ind w:left="4860" w:hanging="360"/>
      </w:pPr>
    </w:lvl>
    <w:lvl w:ilvl="4" w:tplc="E1DC3180" w:tentative="1">
      <w:start w:val="1"/>
      <w:numFmt w:val="lowerLetter"/>
      <w:lvlText w:val="%5."/>
      <w:lvlJc w:val="left"/>
      <w:pPr>
        <w:ind w:left="5580" w:hanging="360"/>
      </w:pPr>
    </w:lvl>
    <w:lvl w:ilvl="5" w:tplc="485E9C56" w:tentative="1">
      <w:start w:val="1"/>
      <w:numFmt w:val="lowerRoman"/>
      <w:lvlText w:val="%6."/>
      <w:lvlJc w:val="right"/>
      <w:pPr>
        <w:ind w:left="6300" w:hanging="180"/>
      </w:pPr>
    </w:lvl>
    <w:lvl w:ilvl="6" w:tplc="F806A890" w:tentative="1">
      <w:start w:val="1"/>
      <w:numFmt w:val="decimal"/>
      <w:lvlText w:val="%7."/>
      <w:lvlJc w:val="left"/>
      <w:pPr>
        <w:ind w:left="7020" w:hanging="360"/>
      </w:pPr>
    </w:lvl>
    <w:lvl w:ilvl="7" w:tplc="094C080E" w:tentative="1">
      <w:start w:val="1"/>
      <w:numFmt w:val="lowerLetter"/>
      <w:lvlText w:val="%8."/>
      <w:lvlJc w:val="left"/>
      <w:pPr>
        <w:ind w:left="7740" w:hanging="360"/>
      </w:pPr>
    </w:lvl>
    <w:lvl w:ilvl="8" w:tplc="6294612C"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7CC04098">
      <w:start w:val="1"/>
      <w:numFmt w:val="bullet"/>
      <w:lvlText w:val=""/>
      <w:lvlJc w:val="left"/>
      <w:pPr>
        <w:tabs>
          <w:tab w:val="num" w:pos="288"/>
        </w:tabs>
        <w:ind w:left="288" w:hanging="288"/>
      </w:pPr>
      <w:rPr>
        <w:rFonts w:ascii="Symbol" w:hAnsi="Symbol" w:hint="default"/>
        <w:color w:val="666699"/>
        <w:sz w:val="24"/>
        <w:szCs w:val="24"/>
      </w:rPr>
    </w:lvl>
    <w:lvl w:ilvl="1" w:tplc="6E701988" w:tentative="1">
      <w:start w:val="1"/>
      <w:numFmt w:val="bullet"/>
      <w:lvlText w:val="o"/>
      <w:lvlJc w:val="left"/>
      <w:pPr>
        <w:tabs>
          <w:tab w:val="num" w:pos="1440"/>
        </w:tabs>
        <w:ind w:left="1440" w:hanging="360"/>
      </w:pPr>
      <w:rPr>
        <w:rFonts w:ascii="Courier New" w:hAnsi="Courier New" w:cs="Courier New" w:hint="default"/>
      </w:rPr>
    </w:lvl>
    <w:lvl w:ilvl="2" w:tplc="CF50BA76" w:tentative="1">
      <w:start w:val="1"/>
      <w:numFmt w:val="bullet"/>
      <w:lvlText w:val=""/>
      <w:lvlJc w:val="left"/>
      <w:pPr>
        <w:tabs>
          <w:tab w:val="num" w:pos="2160"/>
        </w:tabs>
        <w:ind w:left="2160" w:hanging="360"/>
      </w:pPr>
      <w:rPr>
        <w:rFonts w:ascii="Wingdings" w:hAnsi="Wingdings" w:hint="default"/>
      </w:rPr>
    </w:lvl>
    <w:lvl w:ilvl="3" w:tplc="CFC0A202" w:tentative="1">
      <w:start w:val="1"/>
      <w:numFmt w:val="bullet"/>
      <w:lvlText w:val=""/>
      <w:lvlJc w:val="left"/>
      <w:pPr>
        <w:tabs>
          <w:tab w:val="num" w:pos="2880"/>
        </w:tabs>
        <w:ind w:left="2880" w:hanging="360"/>
      </w:pPr>
      <w:rPr>
        <w:rFonts w:ascii="Symbol" w:hAnsi="Symbol" w:hint="default"/>
      </w:rPr>
    </w:lvl>
    <w:lvl w:ilvl="4" w:tplc="C1707FCA" w:tentative="1">
      <w:start w:val="1"/>
      <w:numFmt w:val="bullet"/>
      <w:lvlText w:val="o"/>
      <w:lvlJc w:val="left"/>
      <w:pPr>
        <w:tabs>
          <w:tab w:val="num" w:pos="3600"/>
        </w:tabs>
        <w:ind w:left="3600" w:hanging="360"/>
      </w:pPr>
      <w:rPr>
        <w:rFonts w:ascii="Courier New" w:hAnsi="Courier New" w:cs="Courier New" w:hint="default"/>
      </w:rPr>
    </w:lvl>
    <w:lvl w:ilvl="5" w:tplc="FE0829A0" w:tentative="1">
      <w:start w:val="1"/>
      <w:numFmt w:val="bullet"/>
      <w:lvlText w:val=""/>
      <w:lvlJc w:val="left"/>
      <w:pPr>
        <w:tabs>
          <w:tab w:val="num" w:pos="4320"/>
        </w:tabs>
        <w:ind w:left="4320" w:hanging="360"/>
      </w:pPr>
      <w:rPr>
        <w:rFonts w:ascii="Wingdings" w:hAnsi="Wingdings" w:hint="default"/>
      </w:rPr>
    </w:lvl>
    <w:lvl w:ilvl="6" w:tplc="5CB4F27C" w:tentative="1">
      <w:start w:val="1"/>
      <w:numFmt w:val="bullet"/>
      <w:lvlText w:val=""/>
      <w:lvlJc w:val="left"/>
      <w:pPr>
        <w:tabs>
          <w:tab w:val="num" w:pos="5040"/>
        </w:tabs>
        <w:ind w:left="5040" w:hanging="360"/>
      </w:pPr>
      <w:rPr>
        <w:rFonts w:ascii="Symbol" w:hAnsi="Symbol" w:hint="default"/>
      </w:rPr>
    </w:lvl>
    <w:lvl w:ilvl="7" w:tplc="03C2AD2E" w:tentative="1">
      <w:start w:val="1"/>
      <w:numFmt w:val="bullet"/>
      <w:lvlText w:val="o"/>
      <w:lvlJc w:val="left"/>
      <w:pPr>
        <w:tabs>
          <w:tab w:val="num" w:pos="5760"/>
        </w:tabs>
        <w:ind w:left="5760" w:hanging="360"/>
      </w:pPr>
      <w:rPr>
        <w:rFonts w:ascii="Courier New" w:hAnsi="Courier New" w:cs="Courier New" w:hint="default"/>
      </w:rPr>
    </w:lvl>
    <w:lvl w:ilvl="8" w:tplc="4C3AD4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B76403BA">
      <w:start w:val="1"/>
      <w:numFmt w:val="bullet"/>
      <w:lvlText w:val=""/>
      <w:lvlJc w:val="left"/>
      <w:pPr>
        <w:tabs>
          <w:tab w:val="num" w:pos="288"/>
        </w:tabs>
        <w:ind w:left="288" w:hanging="288"/>
      </w:pPr>
      <w:rPr>
        <w:rFonts w:ascii="Symbol" w:hAnsi="Symbol" w:hint="default"/>
        <w:color w:val="666699"/>
        <w:sz w:val="24"/>
        <w:szCs w:val="24"/>
      </w:rPr>
    </w:lvl>
    <w:lvl w:ilvl="1" w:tplc="45CC3586" w:tentative="1">
      <w:start w:val="1"/>
      <w:numFmt w:val="bullet"/>
      <w:lvlText w:val="o"/>
      <w:lvlJc w:val="left"/>
      <w:pPr>
        <w:tabs>
          <w:tab w:val="num" w:pos="1440"/>
        </w:tabs>
        <w:ind w:left="1440" w:hanging="360"/>
      </w:pPr>
      <w:rPr>
        <w:rFonts w:ascii="Courier New" w:hAnsi="Courier New" w:cs="Courier New" w:hint="default"/>
      </w:rPr>
    </w:lvl>
    <w:lvl w:ilvl="2" w:tplc="CDC6AFFE" w:tentative="1">
      <w:start w:val="1"/>
      <w:numFmt w:val="bullet"/>
      <w:lvlText w:val=""/>
      <w:lvlJc w:val="left"/>
      <w:pPr>
        <w:tabs>
          <w:tab w:val="num" w:pos="2160"/>
        </w:tabs>
        <w:ind w:left="2160" w:hanging="360"/>
      </w:pPr>
      <w:rPr>
        <w:rFonts w:ascii="Wingdings" w:hAnsi="Wingdings" w:hint="default"/>
      </w:rPr>
    </w:lvl>
    <w:lvl w:ilvl="3" w:tplc="108C17CC" w:tentative="1">
      <w:start w:val="1"/>
      <w:numFmt w:val="bullet"/>
      <w:lvlText w:val=""/>
      <w:lvlJc w:val="left"/>
      <w:pPr>
        <w:tabs>
          <w:tab w:val="num" w:pos="2880"/>
        </w:tabs>
        <w:ind w:left="2880" w:hanging="360"/>
      </w:pPr>
      <w:rPr>
        <w:rFonts w:ascii="Symbol" w:hAnsi="Symbol" w:hint="default"/>
      </w:rPr>
    </w:lvl>
    <w:lvl w:ilvl="4" w:tplc="3F9CB46E" w:tentative="1">
      <w:start w:val="1"/>
      <w:numFmt w:val="bullet"/>
      <w:lvlText w:val="o"/>
      <w:lvlJc w:val="left"/>
      <w:pPr>
        <w:tabs>
          <w:tab w:val="num" w:pos="3600"/>
        </w:tabs>
        <w:ind w:left="3600" w:hanging="360"/>
      </w:pPr>
      <w:rPr>
        <w:rFonts w:ascii="Courier New" w:hAnsi="Courier New" w:cs="Courier New" w:hint="default"/>
      </w:rPr>
    </w:lvl>
    <w:lvl w:ilvl="5" w:tplc="79D0B456" w:tentative="1">
      <w:start w:val="1"/>
      <w:numFmt w:val="bullet"/>
      <w:lvlText w:val=""/>
      <w:lvlJc w:val="left"/>
      <w:pPr>
        <w:tabs>
          <w:tab w:val="num" w:pos="4320"/>
        </w:tabs>
        <w:ind w:left="4320" w:hanging="360"/>
      </w:pPr>
      <w:rPr>
        <w:rFonts w:ascii="Wingdings" w:hAnsi="Wingdings" w:hint="default"/>
      </w:rPr>
    </w:lvl>
    <w:lvl w:ilvl="6" w:tplc="B6AEB51C" w:tentative="1">
      <w:start w:val="1"/>
      <w:numFmt w:val="bullet"/>
      <w:lvlText w:val=""/>
      <w:lvlJc w:val="left"/>
      <w:pPr>
        <w:tabs>
          <w:tab w:val="num" w:pos="5040"/>
        </w:tabs>
        <w:ind w:left="5040" w:hanging="360"/>
      </w:pPr>
      <w:rPr>
        <w:rFonts w:ascii="Symbol" w:hAnsi="Symbol" w:hint="default"/>
      </w:rPr>
    </w:lvl>
    <w:lvl w:ilvl="7" w:tplc="8BB4FFFA" w:tentative="1">
      <w:start w:val="1"/>
      <w:numFmt w:val="bullet"/>
      <w:lvlText w:val="o"/>
      <w:lvlJc w:val="left"/>
      <w:pPr>
        <w:tabs>
          <w:tab w:val="num" w:pos="5760"/>
        </w:tabs>
        <w:ind w:left="5760" w:hanging="360"/>
      </w:pPr>
      <w:rPr>
        <w:rFonts w:ascii="Courier New" w:hAnsi="Courier New" w:cs="Courier New" w:hint="default"/>
      </w:rPr>
    </w:lvl>
    <w:lvl w:ilvl="8" w:tplc="AD1CA1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8E780A6C">
      <w:start w:val="1"/>
      <w:numFmt w:val="bullet"/>
      <w:lvlText w:val=""/>
      <w:lvlJc w:val="left"/>
      <w:pPr>
        <w:tabs>
          <w:tab w:val="num" w:pos="720"/>
        </w:tabs>
        <w:ind w:left="720" w:hanging="360"/>
      </w:pPr>
      <w:rPr>
        <w:rFonts w:ascii="Symbol" w:hAnsi="Symbol" w:hint="default"/>
      </w:rPr>
    </w:lvl>
    <w:lvl w:ilvl="1" w:tplc="43C414C4" w:tentative="1">
      <w:start w:val="1"/>
      <w:numFmt w:val="bullet"/>
      <w:lvlText w:val="o"/>
      <w:lvlJc w:val="left"/>
      <w:pPr>
        <w:tabs>
          <w:tab w:val="num" w:pos="1440"/>
        </w:tabs>
        <w:ind w:left="1440" w:hanging="360"/>
      </w:pPr>
      <w:rPr>
        <w:rFonts w:ascii="Courier New" w:hAnsi="Courier New" w:hint="default"/>
      </w:rPr>
    </w:lvl>
    <w:lvl w:ilvl="2" w:tplc="13248C4E" w:tentative="1">
      <w:start w:val="1"/>
      <w:numFmt w:val="bullet"/>
      <w:lvlText w:val=""/>
      <w:lvlJc w:val="left"/>
      <w:pPr>
        <w:tabs>
          <w:tab w:val="num" w:pos="2160"/>
        </w:tabs>
        <w:ind w:left="2160" w:hanging="360"/>
      </w:pPr>
      <w:rPr>
        <w:rFonts w:ascii="Wingdings" w:hAnsi="Wingdings" w:hint="default"/>
      </w:rPr>
    </w:lvl>
    <w:lvl w:ilvl="3" w:tplc="1FC67B32" w:tentative="1">
      <w:start w:val="1"/>
      <w:numFmt w:val="bullet"/>
      <w:lvlText w:val=""/>
      <w:lvlJc w:val="left"/>
      <w:pPr>
        <w:tabs>
          <w:tab w:val="num" w:pos="2880"/>
        </w:tabs>
        <w:ind w:left="2880" w:hanging="360"/>
      </w:pPr>
      <w:rPr>
        <w:rFonts w:ascii="Symbol" w:hAnsi="Symbol" w:hint="default"/>
      </w:rPr>
    </w:lvl>
    <w:lvl w:ilvl="4" w:tplc="C98EFA50" w:tentative="1">
      <w:start w:val="1"/>
      <w:numFmt w:val="bullet"/>
      <w:lvlText w:val="o"/>
      <w:lvlJc w:val="left"/>
      <w:pPr>
        <w:tabs>
          <w:tab w:val="num" w:pos="3600"/>
        </w:tabs>
        <w:ind w:left="3600" w:hanging="360"/>
      </w:pPr>
      <w:rPr>
        <w:rFonts w:ascii="Courier New" w:hAnsi="Courier New" w:hint="default"/>
      </w:rPr>
    </w:lvl>
    <w:lvl w:ilvl="5" w:tplc="6BF88128" w:tentative="1">
      <w:start w:val="1"/>
      <w:numFmt w:val="bullet"/>
      <w:lvlText w:val=""/>
      <w:lvlJc w:val="left"/>
      <w:pPr>
        <w:tabs>
          <w:tab w:val="num" w:pos="4320"/>
        </w:tabs>
        <w:ind w:left="4320" w:hanging="360"/>
      </w:pPr>
      <w:rPr>
        <w:rFonts w:ascii="Wingdings" w:hAnsi="Wingdings" w:hint="default"/>
      </w:rPr>
    </w:lvl>
    <w:lvl w:ilvl="6" w:tplc="7BAAB702" w:tentative="1">
      <w:start w:val="1"/>
      <w:numFmt w:val="bullet"/>
      <w:lvlText w:val=""/>
      <w:lvlJc w:val="left"/>
      <w:pPr>
        <w:tabs>
          <w:tab w:val="num" w:pos="5040"/>
        </w:tabs>
        <w:ind w:left="5040" w:hanging="360"/>
      </w:pPr>
      <w:rPr>
        <w:rFonts w:ascii="Symbol" w:hAnsi="Symbol" w:hint="default"/>
      </w:rPr>
    </w:lvl>
    <w:lvl w:ilvl="7" w:tplc="7476457E" w:tentative="1">
      <w:start w:val="1"/>
      <w:numFmt w:val="bullet"/>
      <w:lvlText w:val="o"/>
      <w:lvlJc w:val="left"/>
      <w:pPr>
        <w:tabs>
          <w:tab w:val="num" w:pos="5760"/>
        </w:tabs>
        <w:ind w:left="5760" w:hanging="360"/>
      </w:pPr>
      <w:rPr>
        <w:rFonts w:ascii="Courier New" w:hAnsi="Courier New" w:hint="default"/>
      </w:rPr>
    </w:lvl>
    <w:lvl w:ilvl="8" w:tplc="6CF43F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8FA2BE4C">
      <w:start w:val="1"/>
      <w:numFmt w:val="bullet"/>
      <w:lvlText w:val=""/>
      <w:lvlJc w:val="left"/>
      <w:pPr>
        <w:tabs>
          <w:tab w:val="num" w:pos="720"/>
        </w:tabs>
        <w:ind w:left="720" w:hanging="360"/>
      </w:pPr>
      <w:rPr>
        <w:rFonts w:ascii="Symbol" w:hAnsi="Symbol" w:hint="default"/>
      </w:rPr>
    </w:lvl>
    <w:lvl w:ilvl="1" w:tplc="DC2ACB16" w:tentative="1">
      <w:start w:val="1"/>
      <w:numFmt w:val="bullet"/>
      <w:lvlText w:val="o"/>
      <w:lvlJc w:val="left"/>
      <w:pPr>
        <w:tabs>
          <w:tab w:val="num" w:pos="1440"/>
        </w:tabs>
        <w:ind w:left="1440" w:hanging="360"/>
      </w:pPr>
      <w:rPr>
        <w:rFonts w:ascii="Courier New" w:hAnsi="Courier New" w:hint="default"/>
      </w:rPr>
    </w:lvl>
    <w:lvl w:ilvl="2" w:tplc="BDF4BF68" w:tentative="1">
      <w:start w:val="1"/>
      <w:numFmt w:val="bullet"/>
      <w:lvlText w:val=""/>
      <w:lvlJc w:val="left"/>
      <w:pPr>
        <w:tabs>
          <w:tab w:val="num" w:pos="2160"/>
        </w:tabs>
        <w:ind w:left="2160" w:hanging="360"/>
      </w:pPr>
      <w:rPr>
        <w:rFonts w:ascii="Wingdings" w:hAnsi="Wingdings" w:hint="default"/>
      </w:rPr>
    </w:lvl>
    <w:lvl w:ilvl="3" w:tplc="9F28569A" w:tentative="1">
      <w:start w:val="1"/>
      <w:numFmt w:val="bullet"/>
      <w:lvlText w:val=""/>
      <w:lvlJc w:val="left"/>
      <w:pPr>
        <w:tabs>
          <w:tab w:val="num" w:pos="2880"/>
        </w:tabs>
        <w:ind w:left="2880" w:hanging="360"/>
      </w:pPr>
      <w:rPr>
        <w:rFonts w:ascii="Symbol" w:hAnsi="Symbol" w:hint="default"/>
      </w:rPr>
    </w:lvl>
    <w:lvl w:ilvl="4" w:tplc="AA6468BE" w:tentative="1">
      <w:start w:val="1"/>
      <w:numFmt w:val="bullet"/>
      <w:lvlText w:val="o"/>
      <w:lvlJc w:val="left"/>
      <w:pPr>
        <w:tabs>
          <w:tab w:val="num" w:pos="3600"/>
        </w:tabs>
        <w:ind w:left="3600" w:hanging="360"/>
      </w:pPr>
      <w:rPr>
        <w:rFonts w:ascii="Courier New" w:hAnsi="Courier New" w:hint="default"/>
      </w:rPr>
    </w:lvl>
    <w:lvl w:ilvl="5" w:tplc="9F167C60" w:tentative="1">
      <w:start w:val="1"/>
      <w:numFmt w:val="bullet"/>
      <w:lvlText w:val=""/>
      <w:lvlJc w:val="left"/>
      <w:pPr>
        <w:tabs>
          <w:tab w:val="num" w:pos="4320"/>
        </w:tabs>
        <w:ind w:left="4320" w:hanging="360"/>
      </w:pPr>
      <w:rPr>
        <w:rFonts w:ascii="Wingdings" w:hAnsi="Wingdings" w:hint="default"/>
      </w:rPr>
    </w:lvl>
    <w:lvl w:ilvl="6" w:tplc="D714D426" w:tentative="1">
      <w:start w:val="1"/>
      <w:numFmt w:val="bullet"/>
      <w:lvlText w:val=""/>
      <w:lvlJc w:val="left"/>
      <w:pPr>
        <w:tabs>
          <w:tab w:val="num" w:pos="5040"/>
        </w:tabs>
        <w:ind w:left="5040" w:hanging="360"/>
      </w:pPr>
      <w:rPr>
        <w:rFonts w:ascii="Symbol" w:hAnsi="Symbol" w:hint="default"/>
      </w:rPr>
    </w:lvl>
    <w:lvl w:ilvl="7" w:tplc="52BC4632" w:tentative="1">
      <w:start w:val="1"/>
      <w:numFmt w:val="bullet"/>
      <w:lvlText w:val="o"/>
      <w:lvlJc w:val="left"/>
      <w:pPr>
        <w:tabs>
          <w:tab w:val="num" w:pos="5760"/>
        </w:tabs>
        <w:ind w:left="5760" w:hanging="360"/>
      </w:pPr>
      <w:rPr>
        <w:rFonts w:ascii="Courier New" w:hAnsi="Courier New" w:hint="default"/>
      </w:rPr>
    </w:lvl>
    <w:lvl w:ilvl="8" w:tplc="4740F2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0D9469C4">
      <w:start w:val="1"/>
      <w:numFmt w:val="bullet"/>
      <w:lvlText w:val=""/>
      <w:lvlJc w:val="left"/>
      <w:pPr>
        <w:tabs>
          <w:tab w:val="num" w:pos="288"/>
        </w:tabs>
        <w:ind w:left="288" w:hanging="288"/>
      </w:pPr>
      <w:rPr>
        <w:rFonts w:ascii="Symbol" w:hAnsi="Symbol" w:hint="default"/>
        <w:color w:val="666699"/>
        <w:sz w:val="24"/>
        <w:szCs w:val="24"/>
      </w:rPr>
    </w:lvl>
    <w:lvl w:ilvl="1" w:tplc="EFD2DC74" w:tentative="1">
      <w:start w:val="1"/>
      <w:numFmt w:val="bullet"/>
      <w:lvlText w:val="o"/>
      <w:lvlJc w:val="left"/>
      <w:pPr>
        <w:tabs>
          <w:tab w:val="num" w:pos="1440"/>
        </w:tabs>
        <w:ind w:left="1440" w:hanging="360"/>
      </w:pPr>
      <w:rPr>
        <w:rFonts w:ascii="Courier New" w:hAnsi="Courier New" w:cs="Courier New" w:hint="default"/>
      </w:rPr>
    </w:lvl>
    <w:lvl w:ilvl="2" w:tplc="C716391C" w:tentative="1">
      <w:start w:val="1"/>
      <w:numFmt w:val="bullet"/>
      <w:lvlText w:val=""/>
      <w:lvlJc w:val="left"/>
      <w:pPr>
        <w:tabs>
          <w:tab w:val="num" w:pos="2160"/>
        </w:tabs>
        <w:ind w:left="2160" w:hanging="360"/>
      </w:pPr>
      <w:rPr>
        <w:rFonts w:ascii="Wingdings" w:hAnsi="Wingdings" w:hint="default"/>
      </w:rPr>
    </w:lvl>
    <w:lvl w:ilvl="3" w:tplc="48CC184C" w:tentative="1">
      <w:start w:val="1"/>
      <w:numFmt w:val="bullet"/>
      <w:lvlText w:val=""/>
      <w:lvlJc w:val="left"/>
      <w:pPr>
        <w:tabs>
          <w:tab w:val="num" w:pos="2880"/>
        </w:tabs>
        <w:ind w:left="2880" w:hanging="360"/>
      </w:pPr>
      <w:rPr>
        <w:rFonts w:ascii="Symbol" w:hAnsi="Symbol" w:hint="default"/>
      </w:rPr>
    </w:lvl>
    <w:lvl w:ilvl="4" w:tplc="69F6973C" w:tentative="1">
      <w:start w:val="1"/>
      <w:numFmt w:val="bullet"/>
      <w:lvlText w:val="o"/>
      <w:lvlJc w:val="left"/>
      <w:pPr>
        <w:tabs>
          <w:tab w:val="num" w:pos="3600"/>
        </w:tabs>
        <w:ind w:left="3600" w:hanging="360"/>
      </w:pPr>
      <w:rPr>
        <w:rFonts w:ascii="Courier New" w:hAnsi="Courier New" w:cs="Courier New" w:hint="default"/>
      </w:rPr>
    </w:lvl>
    <w:lvl w:ilvl="5" w:tplc="516042E8" w:tentative="1">
      <w:start w:val="1"/>
      <w:numFmt w:val="bullet"/>
      <w:lvlText w:val=""/>
      <w:lvlJc w:val="left"/>
      <w:pPr>
        <w:tabs>
          <w:tab w:val="num" w:pos="4320"/>
        </w:tabs>
        <w:ind w:left="4320" w:hanging="360"/>
      </w:pPr>
      <w:rPr>
        <w:rFonts w:ascii="Wingdings" w:hAnsi="Wingdings" w:hint="default"/>
      </w:rPr>
    </w:lvl>
    <w:lvl w:ilvl="6" w:tplc="11009762" w:tentative="1">
      <w:start w:val="1"/>
      <w:numFmt w:val="bullet"/>
      <w:lvlText w:val=""/>
      <w:lvlJc w:val="left"/>
      <w:pPr>
        <w:tabs>
          <w:tab w:val="num" w:pos="5040"/>
        </w:tabs>
        <w:ind w:left="5040" w:hanging="360"/>
      </w:pPr>
      <w:rPr>
        <w:rFonts w:ascii="Symbol" w:hAnsi="Symbol" w:hint="default"/>
      </w:rPr>
    </w:lvl>
    <w:lvl w:ilvl="7" w:tplc="3312CA1E" w:tentative="1">
      <w:start w:val="1"/>
      <w:numFmt w:val="bullet"/>
      <w:lvlText w:val="o"/>
      <w:lvlJc w:val="left"/>
      <w:pPr>
        <w:tabs>
          <w:tab w:val="num" w:pos="5760"/>
        </w:tabs>
        <w:ind w:left="5760" w:hanging="360"/>
      </w:pPr>
      <w:rPr>
        <w:rFonts w:ascii="Courier New" w:hAnsi="Courier New" w:cs="Courier New" w:hint="default"/>
      </w:rPr>
    </w:lvl>
    <w:lvl w:ilvl="8" w:tplc="58C024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36B2D432">
      <w:start w:val="1"/>
      <w:numFmt w:val="decimal"/>
      <w:lvlText w:val="%1."/>
      <w:lvlJc w:val="left"/>
      <w:pPr>
        <w:tabs>
          <w:tab w:val="num" w:pos="720"/>
        </w:tabs>
        <w:ind w:left="720" w:hanging="360"/>
      </w:pPr>
    </w:lvl>
    <w:lvl w:ilvl="1" w:tplc="151665E6" w:tentative="1">
      <w:start w:val="1"/>
      <w:numFmt w:val="lowerLetter"/>
      <w:lvlText w:val="%2."/>
      <w:lvlJc w:val="left"/>
      <w:pPr>
        <w:tabs>
          <w:tab w:val="num" w:pos="1440"/>
        </w:tabs>
        <w:ind w:left="1440" w:hanging="360"/>
      </w:pPr>
    </w:lvl>
    <w:lvl w:ilvl="2" w:tplc="8000F95C" w:tentative="1">
      <w:start w:val="1"/>
      <w:numFmt w:val="lowerRoman"/>
      <w:lvlText w:val="%3."/>
      <w:lvlJc w:val="right"/>
      <w:pPr>
        <w:tabs>
          <w:tab w:val="num" w:pos="2160"/>
        </w:tabs>
        <w:ind w:left="2160" w:hanging="180"/>
      </w:pPr>
    </w:lvl>
    <w:lvl w:ilvl="3" w:tplc="CECCFD34" w:tentative="1">
      <w:start w:val="1"/>
      <w:numFmt w:val="decimal"/>
      <w:lvlText w:val="%4."/>
      <w:lvlJc w:val="left"/>
      <w:pPr>
        <w:tabs>
          <w:tab w:val="num" w:pos="2880"/>
        </w:tabs>
        <w:ind w:left="2880" w:hanging="360"/>
      </w:pPr>
    </w:lvl>
    <w:lvl w:ilvl="4" w:tplc="8180A770" w:tentative="1">
      <w:start w:val="1"/>
      <w:numFmt w:val="lowerLetter"/>
      <w:lvlText w:val="%5."/>
      <w:lvlJc w:val="left"/>
      <w:pPr>
        <w:tabs>
          <w:tab w:val="num" w:pos="3600"/>
        </w:tabs>
        <w:ind w:left="3600" w:hanging="360"/>
      </w:pPr>
    </w:lvl>
    <w:lvl w:ilvl="5" w:tplc="076AAFB4" w:tentative="1">
      <w:start w:val="1"/>
      <w:numFmt w:val="lowerRoman"/>
      <w:lvlText w:val="%6."/>
      <w:lvlJc w:val="right"/>
      <w:pPr>
        <w:tabs>
          <w:tab w:val="num" w:pos="4320"/>
        </w:tabs>
        <w:ind w:left="4320" w:hanging="180"/>
      </w:pPr>
    </w:lvl>
    <w:lvl w:ilvl="6" w:tplc="4024108A" w:tentative="1">
      <w:start w:val="1"/>
      <w:numFmt w:val="decimal"/>
      <w:lvlText w:val="%7."/>
      <w:lvlJc w:val="left"/>
      <w:pPr>
        <w:tabs>
          <w:tab w:val="num" w:pos="5040"/>
        </w:tabs>
        <w:ind w:left="5040" w:hanging="360"/>
      </w:pPr>
    </w:lvl>
    <w:lvl w:ilvl="7" w:tplc="E2A0BEEC" w:tentative="1">
      <w:start w:val="1"/>
      <w:numFmt w:val="lowerLetter"/>
      <w:lvlText w:val="%8."/>
      <w:lvlJc w:val="left"/>
      <w:pPr>
        <w:tabs>
          <w:tab w:val="num" w:pos="5760"/>
        </w:tabs>
        <w:ind w:left="5760" w:hanging="360"/>
      </w:pPr>
    </w:lvl>
    <w:lvl w:ilvl="8" w:tplc="F23EEBAE"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7EFE584A">
      <w:start w:val="1"/>
      <w:numFmt w:val="bullet"/>
      <w:lvlText w:val=""/>
      <w:lvlJc w:val="left"/>
      <w:pPr>
        <w:tabs>
          <w:tab w:val="num" w:pos="288"/>
        </w:tabs>
        <w:ind w:left="288" w:hanging="288"/>
      </w:pPr>
      <w:rPr>
        <w:rFonts w:ascii="Symbol" w:hAnsi="Symbol" w:hint="default"/>
        <w:color w:val="666699"/>
        <w:sz w:val="24"/>
        <w:szCs w:val="24"/>
      </w:rPr>
    </w:lvl>
    <w:lvl w:ilvl="1" w:tplc="85AECD04" w:tentative="1">
      <w:start w:val="1"/>
      <w:numFmt w:val="bullet"/>
      <w:lvlText w:val="o"/>
      <w:lvlJc w:val="left"/>
      <w:pPr>
        <w:tabs>
          <w:tab w:val="num" w:pos="1440"/>
        </w:tabs>
        <w:ind w:left="1440" w:hanging="360"/>
      </w:pPr>
      <w:rPr>
        <w:rFonts w:ascii="Courier New" w:hAnsi="Courier New" w:cs="Courier New" w:hint="default"/>
      </w:rPr>
    </w:lvl>
    <w:lvl w:ilvl="2" w:tplc="9F3E7990" w:tentative="1">
      <w:start w:val="1"/>
      <w:numFmt w:val="bullet"/>
      <w:lvlText w:val=""/>
      <w:lvlJc w:val="left"/>
      <w:pPr>
        <w:tabs>
          <w:tab w:val="num" w:pos="2160"/>
        </w:tabs>
        <w:ind w:left="2160" w:hanging="360"/>
      </w:pPr>
      <w:rPr>
        <w:rFonts w:ascii="Wingdings" w:hAnsi="Wingdings" w:hint="default"/>
      </w:rPr>
    </w:lvl>
    <w:lvl w:ilvl="3" w:tplc="162290C2" w:tentative="1">
      <w:start w:val="1"/>
      <w:numFmt w:val="bullet"/>
      <w:lvlText w:val=""/>
      <w:lvlJc w:val="left"/>
      <w:pPr>
        <w:tabs>
          <w:tab w:val="num" w:pos="2880"/>
        </w:tabs>
        <w:ind w:left="2880" w:hanging="360"/>
      </w:pPr>
      <w:rPr>
        <w:rFonts w:ascii="Symbol" w:hAnsi="Symbol" w:hint="default"/>
      </w:rPr>
    </w:lvl>
    <w:lvl w:ilvl="4" w:tplc="CAB06042" w:tentative="1">
      <w:start w:val="1"/>
      <w:numFmt w:val="bullet"/>
      <w:lvlText w:val="o"/>
      <w:lvlJc w:val="left"/>
      <w:pPr>
        <w:tabs>
          <w:tab w:val="num" w:pos="3600"/>
        </w:tabs>
        <w:ind w:left="3600" w:hanging="360"/>
      </w:pPr>
      <w:rPr>
        <w:rFonts w:ascii="Courier New" w:hAnsi="Courier New" w:cs="Courier New" w:hint="default"/>
      </w:rPr>
    </w:lvl>
    <w:lvl w:ilvl="5" w:tplc="28D4BF3A" w:tentative="1">
      <w:start w:val="1"/>
      <w:numFmt w:val="bullet"/>
      <w:lvlText w:val=""/>
      <w:lvlJc w:val="left"/>
      <w:pPr>
        <w:tabs>
          <w:tab w:val="num" w:pos="4320"/>
        </w:tabs>
        <w:ind w:left="4320" w:hanging="360"/>
      </w:pPr>
      <w:rPr>
        <w:rFonts w:ascii="Wingdings" w:hAnsi="Wingdings" w:hint="default"/>
      </w:rPr>
    </w:lvl>
    <w:lvl w:ilvl="6" w:tplc="BF84A742" w:tentative="1">
      <w:start w:val="1"/>
      <w:numFmt w:val="bullet"/>
      <w:lvlText w:val=""/>
      <w:lvlJc w:val="left"/>
      <w:pPr>
        <w:tabs>
          <w:tab w:val="num" w:pos="5040"/>
        </w:tabs>
        <w:ind w:left="5040" w:hanging="360"/>
      </w:pPr>
      <w:rPr>
        <w:rFonts w:ascii="Symbol" w:hAnsi="Symbol" w:hint="default"/>
      </w:rPr>
    </w:lvl>
    <w:lvl w:ilvl="7" w:tplc="0EA412A0" w:tentative="1">
      <w:start w:val="1"/>
      <w:numFmt w:val="bullet"/>
      <w:lvlText w:val="o"/>
      <w:lvlJc w:val="left"/>
      <w:pPr>
        <w:tabs>
          <w:tab w:val="num" w:pos="5760"/>
        </w:tabs>
        <w:ind w:left="5760" w:hanging="360"/>
      </w:pPr>
      <w:rPr>
        <w:rFonts w:ascii="Courier New" w:hAnsi="Courier New" w:cs="Courier New" w:hint="default"/>
      </w:rPr>
    </w:lvl>
    <w:lvl w:ilvl="8" w:tplc="E9C600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C00650E0">
      <w:start w:val="1"/>
      <w:numFmt w:val="bullet"/>
      <w:lvlText w:val=""/>
      <w:lvlJc w:val="left"/>
      <w:pPr>
        <w:tabs>
          <w:tab w:val="num" w:pos="720"/>
        </w:tabs>
        <w:ind w:left="720" w:hanging="360"/>
      </w:pPr>
      <w:rPr>
        <w:rFonts w:ascii="Symbol" w:hAnsi="Symbol" w:hint="default"/>
      </w:rPr>
    </w:lvl>
    <w:lvl w:ilvl="1" w:tplc="09708F56" w:tentative="1">
      <w:start w:val="1"/>
      <w:numFmt w:val="bullet"/>
      <w:lvlText w:val="o"/>
      <w:lvlJc w:val="left"/>
      <w:pPr>
        <w:tabs>
          <w:tab w:val="num" w:pos="1440"/>
        </w:tabs>
        <w:ind w:left="1440" w:hanging="360"/>
      </w:pPr>
      <w:rPr>
        <w:rFonts w:ascii="Courier New" w:hAnsi="Courier New" w:hint="default"/>
      </w:rPr>
    </w:lvl>
    <w:lvl w:ilvl="2" w:tplc="5CC42236" w:tentative="1">
      <w:start w:val="1"/>
      <w:numFmt w:val="bullet"/>
      <w:lvlText w:val=""/>
      <w:lvlJc w:val="left"/>
      <w:pPr>
        <w:tabs>
          <w:tab w:val="num" w:pos="2160"/>
        </w:tabs>
        <w:ind w:left="2160" w:hanging="360"/>
      </w:pPr>
      <w:rPr>
        <w:rFonts w:ascii="Wingdings" w:hAnsi="Wingdings" w:hint="default"/>
      </w:rPr>
    </w:lvl>
    <w:lvl w:ilvl="3" w:tplc="FC3C384A" w:tentative="1">
      <w:start w:val="1"/>
      <w:numFmt w:val="bullet"/>
      <w:lvlText w:val=""/>
      <w:lvlJc w:val="left"/>
      <w:pPr>
        <w:tabs>
          <w:tab w:val="num" w:pos="2880"/>
        </w:tabs>
        <w:ind w:left="2880" w:hanging="360"/>
      </w:pPr>
      <w:rPr>
        <w:rFonts w:ascii="Symbol" w:hAnsi="Symbol" w:hint="default"/>
      </w:rPr>
    </w:lvl>
    <w:lvl w:ilvl="4" w:tplc="C8702B54" w:tentative="1">
      <w:start w:val="1"/>
      <w:numFmt w:val="bullet"/>
      <w:lvlText w:val="o"/>
      <w:lvlJc w:val="left"/>
      <w:pPr>
        <w:tabs>
          <w:tab w:val="num" w:pos="3600"/>
        </w:tabs>
        <w:ind w:left="3600" w:hanging="360"/>
      </w:pPr>
      <w:rPr>
        <w:rFonts w:ascii="Courier New" w:hAnsi="Courier New" w:hint="default"/>
      </w:rPr>
    </w:lvl>
    <w:lvl w:ilvl="5" w:tplc="BD48ED8C" w:tentative="1">
      <w:start w:val="1"/>
      <w:numFmt w:val="bullet"/>
      <w:lvlText w:val=""/>
      <w:lvlJc w:val="left"/>
      <w:pPr>
        <w:tabs>
          <w:tab w:val="num" w:pos="4320"/>
        </w:tabs>
        <w:ind w:left="4320" w:hanging="360"/>
      </w:pPr>
      <w:rPr>
        <w:rFonts w:ascii="Wingdings" w:hAnsi="Wingdings" w:hint="default"/>
      </w:rPr>
    </w:lvl>
    <w:lvl w:ilvl="6" w:tplc="967CB00A" w:tentative="1">
      <w:start w:val="1"/>
      <w:numFmt w:val="bullet"/>
      <w:lvlText w:val=""/>
      <w:lvlJc w:val="left"/>
      <w:pPr>
        <w:tabs>
          <w:tab w:val="num" w:pos="5040"/>
        </w:tabs>
        <w:ind w:left="5040" w:hanging="360"/>
      </w:pPr>
      <w:rPr>
        <w:rFonts w:ascii="Symbol" w:hAnsi="Symbol" w:hint="default"/>
      </w:rPr>
    </w:lvl>
    <w:lvl w:ilvl="7" w:tplc="26305188" w:tentative="1">
      <w:start w:val="1"/>
      <w:numFmt w:val="bullet"/>
      <w:lvlText w:val="o"/>
      <w:lvlJc w:val="left"/>
      <w:pPr>
        <w:tabs>
          <w:tab w:val="num" w:pos="5760"/>
        </w:tabs>
        <w:ind w:left="5760" w:hanging="360"/>
      </w:pPr>
      <w:rPr>
        <w:rFonts w:ascii="Courier New" w:hAnsi="Courier New" w:hint="default"/>
      </w:rPr>
    </w:lvl>
    <w:lvl w:ilvl="8" w:tplc="415A89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C26"/>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6C9C"/>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D7DB3"/>
    <w:rsid w:val="000E10F5"/>
    <w:rsid w:val="000E1925"/>
    <w:rsid w:val="000F7D9A"/>
    <w:rsid w:val="0010211E"/>
    <w:rsid w:val="00105530"/>
    <w:rsid w:val="00110881"/>
    <w:rsid w:val="00111695"/>
    <w:rsid w:val="00113A2C"/>
    <w:rsid w:val="00117C5C"/>
    <w:rsid w:val="0012054B"/>
    <w:rsid w:val="00120928"/>
    <w:rsid w:val="001216A4"/>
    <w:rsid w:val="001218F7"/>
    <w:rsid w:val="001221AC"/>
    <w:rsid w:val="001248DE"/>
    <w:rsid w:val="0012657D"/>
    <w:rsid w:val="00126839"/>
    <w:rsid w:val="00132D81"/>
    <w:rsid w:val="00133A87"/>
    <w:rsid w:val="001377E4"/>
    <w:rsid w:val="001410EB"/>
    <w:rsid w:val="001537CA"/>
    <w:rsid w:val="00153D13"/>
    <w:rsid w:val="0015614C"/>
    <w:rsid w:val="00160CC8"/>
    <w:rsid w:val="001613E3"/>
    <w:rsid w:val="00163672"/>
    <w:rsid w:val="00167E3B"/>
    <w:rsid w:val="0017269E"/>
    <w:rsid w:val="001729F0"/>
    <w:rsid w:val="00173F3C"/>
    <w:rsid w:val="00177B30"/>
    <w:rsid w:val="00182BAE"/>
    <w:rsid w:val="00187595"/>
    <w:rsid w:val="001918AF"/>
    <w:rsid w:val="001A37E4"/>
    <w:rsid w:val="001A5BB2"/>
    <w:rsid w:val="001A616B"/>
    <w:rsid w:val="001B00C1"/>
    <w:rsid w:val="001B0251"/>
    <w:rsid w:val="001B1BCC"/>
    <w:rsid w:val="001B2C09"/>
    <w:rsid w:val="001B3144"/>
    <w:rsid w:val="001B52D5"/>
    <w:rsid w:val="001B60C5"/>
    <w:rsid w:val="001B650A"/>
    <w:rsid w:val="001B656B"/>
    <w:rsid w:val="001B7464"/>
    <w:rsid w:val="001C133C"/>
    <w:rsid w:val="001C16DD"/>
    <w:rsid w:val="001C39E8"/>
    <w:rsid w:val="001D4646"/>
    <w:rsid w:val="001D580E"/>
    <w:rsid w:val="001D598F"/>
    <w:rsid w:val="001D7DA0"/>
    <w:rsid w:val="001E21AB"/>
    <w:rsid w:val="001E37B1"/>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57DFA"/>
    <w:rsid w:val="00265F7D"/>
    <w:rsid w:val="002668B7"/>
    <w:rsid w:val="00266EE9"/>
    <w:rsid w:val="00270771"/>
    <w:rsid w:val="00270DE8"/>
    <w:rsid w:val="00272E08"/>
    <w:rsid w:val="00275060"/>
    <w:rsid w:val="00277F84"/>
    <w:rsid w:val="002802AC"/>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300B"/>
    <w:rsid w:val="002C5EFC"/>
    <w:rsid w:val="002D162C"/>
    <w:rsid w:val="002D1947"/>
    <w:rsid w:val="002D26CE"/>
    <w:rsid w:val="002D26D8"/>
    <w:rsid w:val="002E1054"/>
    <w:rsid w:val="002E1523"/>
    <w:rsid w:val="002E2BC4"/>
    <w:rsid w:val="002E42DD"/>
    <w:rsid w:val="002E4CC2"/>
    <w:rsid w:val="002E7067"/>
    <w:rsid w:val="002F2369"/>
    <w:rsid w:val="002F25B5"/>
    <w:rsid w:val="002F6676"/>
    <w:rsid w:val="00303276"/>
    <w:rsid w:val="00303C89"/>
    <w:rsid w:val="003041C0"/>
    <w:rsid w:val="00305AF3"/>
    <w:rsid w:val="003117D8"/>
    <w:rsid w:val="0031280C"/>
    <w:rsid w:val="00313D71"/>
    <w:rsid w:val="00320E2E"/>
    <w:rsid w:val="00323EC1"/>
    <w:rsid w:val="003242E6"/>
    <w:rsid w:val="00325B7D"/>
    <w:rsid w:val="0032609A"/>
    <w:rsid w:val="00327989"/>
    <w:rsid w:val="00327A05"/>
    <w:rsid w:val="00327F80"/>
    <w:rsid w:val="003302C3"/>
    <w:rsid w:val="00333933"/>
    <w:rsid w:val="00334FF4"/>
    <w:rsid w:val="00336891"/>
    <w:rsid w:val="00337BFD"/>
    <w:rsid w:val="003466D7"/>
    <w:rsid w:val="00346A59"/>
    <w:rsid w:val="00353461"/>
    <w:rsid w:val="00353EDF"/>
    <w:rsid w:val="00360C79"/>
    <w:rsid w:val="00360DDE"/>
    <w:rsid w:val="00361230"/>
    <w:rsid w:val="00365AF6"/>
    <w:rsid w:val="0036747A"/>
    <w:rsid w:val="003749DF"/>
    <w:rsid w:val="00375BD2"/>
    <w:rsid w:val="00382767"/>
    <w:rsid w:val="00386343"/>
    <w:rsid w:val="00386AAF"/>
    <w:rsid w:val="003872C6"/>
    <w:rsid w:val="003910CA"/>
    <w:rsid w:val="00392A4E"/>
    <w:rsid w:val="00393F27"/>
    <w:rsid w:val="00394DBA"/>
    <w:rsid w:val="003975AB"/>
    <w:rsid w:val="0039782B"/>
    <w:rsid w:val="003A4E23"/>
    <w:rsid w:val="003B0D60"/>
    <w:rsid w:val="003B12D8"/>
    <w:rsid w:val="003C08EF"/>
    <w:rsid w:val="003C0FF8"/>
    <w:rsid w:val="003C1A17"/>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348E"/>
    <w:rsid w:val="00445CD8"/>
    <w:rsid w:val="004478A7"/>
    <w:rsid w:val="00451B53"/>
    <w:rsid w:val="0045510A"/>
    <w:rsid w:val="00455519"/>
    <w:rsid w:val="00457C91"/>
    <w:rsid w:val="0046670C"/>
    <w:rsid w:val="004737E4"/>
    <w:rsid w:val="00477AFE"/>
    <w:rsid w:val="0048418D"/>
    <w:rsid w:val="00484FAB"/>
    <w:rsid w:val="00485E1A"/>
    <w:rsid w:val="00494C54"/>
    <w:rsid w:val="00496D3F"/>
    <w:rsid w:val="004A17B2"/>
    <w:rsid w:val="004A24B3"/>
    <w:rsid w:val="004A6795"/>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2957"/>
    <w:rsid w:val="00513456"/>
    <w:rsid w:val="005162AF"/>
    <w:rsid w:val="005213FF"/>
    <w:rsid w:val="005278B6"/>
    <w:rsid w:val="00533836"/>
    <w:rsid w:val="00533D32"/>
    <w:rsid w:val="00540E6A"/>
    <w:rsid w:val="00541C1A"/>
    <w:rsid w:val="00541FAD"/>
    <w:rsid w:val="005561B6"/>
    <w:rsid w:val="0056058D"/>
    <w:rsid w:val="00570271"/>
    <w:rsid w:val="005747A2"/>
    <w:rsid w:val="0057783C"/>
    <w:rsid w:val="00585152"/>
    <w:rsid w:val="00590065"/>
    <w:rsid w:val="00592740"/>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5F2A91"/>
    <w:rsid w:val="006002C8"/>
    <w:rsid w:val="00603920"/>
    <w:rsid w:val="00604620"/>
    <w:rsid w:val="00604770"/>
    <w:rsid w:val="0061062B"/>
    <w:rsid w:val="00610FE0"/>
    <w:rsid w:val="006126C4"/>
    <w:rsid w:val="00615125"/>
    <w:rsid w:val="006170F7"/>
    <w:rsid w:val="00617396"/>
    <w:rsid w:val="00623E97"/>
    <w:rsid w:val="00627477"/>
    <w:rsid w:val="00627AFA"/>
    <w:rsid w:val="00627B2B"/>
    <w:rsid w:val="006327F3"/>
    <w:rsid w:val="00633536"/>
    <w:rsid w:val="00635BEE"/>
    <w:rsid w:val="00641DC9"/>
    <w:rsid w:val="00642093"/>
    <w:rsid w:val="00642936"/>
    <w:rsid w:val="00646049"/>
    <w:rsid w:val="00651CFB"/>
    <w:rsid w:val="00654B43"/>
    <w:rsid w:val="00657F9F"/>
    <w:rsid w:val="00662E56"/>
    <w:rsid w:val="00663522"/>
    <w:rsid w:val="006647F4"/>
    <w:rsid w:val="006661C1"/>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17634"/>
    <w:rsid w:val="007177FD"/>
    <w:rsid w:val="007213BD"/>
    <w:rsid w:val="0072325F"/>
    <w:rsid w:val="0072618E"/>
    <w:rsid w:val="00726AD6"/>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D3AD5"/>
    <w:rsid w:val="007D79BB"/>
    <w:rsid w:val="007E07E9"/>
    <w:rsid w:val="007E0916"/>
    <w:rsid w:val="007E165D"/>
    <w:rsid w:val="007E63A1"/>
    <w:rsid w:val="007E67AB"/>
    <w:rsid w:val="007F0306"/>
    <w:rsid w:val="007F7691"/>
    <w:rsid w:val="00800DDD"/>
    <w:rsid w:val="00801DAF"/>
    <w:rsid w:val="008023D4"/>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964F0"/>
    <w:rsid w:val="008A0449"/>
    <w:rsid w:val="008A345F"/>
    <w:rsid w:val="008A446A"/>
    <w:rsid w:val="008A7323"/>
    <w:rsid w:val="008B13EC"/>
    <w:rsid w:val="008C1B66"/>
    <w:rsid w:val="008D04EF"/>
    <w:rsid w:val="008D21CA"/>
    <w:rsid w:val="008D4B1C"/>
    <w:rsid w:val="008D6568"/>
    <w:rsid w:val="008E35EC"/>
    <w:rsid w:val="008F3CBD"/>
    <w:rsid w:val="008F76CC"/>
    <w:rsid w:val="008F7E02"/>
    <w:rsid w:val="0090118B"/>
    <w:rsid w:val="009100E7"/>
    <w:rsid w:val="009115B6"/>
    <w:rsid w:val="009117BB"/>
    <w:rsid w:val="00915015"/>
    <w:rsid w:val="00915BF2"/>
    <w:rsid w:val="009164BA"/>
    <w:rsid w:val="00917DCA"/>
    <w:rsid w:val="00920EF4"/>
    <w:rsid w:val="00921F66"/>
    <w:rsid w:val="00922C4A"/>
    <w:rsid w:val="00923D37"/>
    <w:rsid w:val="009243E0"/>
    <w:rsid w:val="009256CF"/>
    <w:rsid w:val="00926614"/>
    <w:rsid w:val="009266BA"/>
    <w:rsid w:val="00926BDB"/>
    <w:rsid w:val="00944A7B"/>
    <w:rsid w:val="00950534"/>
    <w:rsid w:val="0095209F"/>
    <w:rsid w:val="00952440"/>
    <w:rsid w:val="00956197"/>
    <w:rsid w:val="00963498"/>
    <w:rsid w:val="00963726"/>
    <w:rsid w:val="00963914"/>
    <w:rsid w:val="00965459"/>
    <w:rsid w:val="00970CBE"/>
    <w:rsid w:val="00970E40"/>
    <w:rsid w:val="00971577"/>
    <w:rsid w:val="00973538"/>
    <w:rsid w:val="0097356E"/>
    <w:rsid w:val="009763F8"/>
    <w:rsid w:val="0097705B"/>
    <w:rsid w:val="00982F71"/>
    <w:rsid w:val="0098514D"/>
    <w:rsid w:val="00986643"/>
    <w:rsid w:val="00987662"/>
    <w:rsid w:val="009902D2"/>
    <w:rsid w:val="00990366"/>
    <w:rsid w:val="009946DF"/>
    <w:rsid w:val="009951B8"/>
    <w:rsid w:val="009952EA"/>
    <w:rsid w:val="00995FFE"/>
    <w:rsid w:val="009969B0"/>
    <w:rsid w:val="009A19B7"/>
    <w:rsid w:val="009A2367"/>
    <w:rsid w:val="009A2B55"/>
    <w:rsid w:val="009A4A8D"/>
    <w:rsid w:val="009A5140"/>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25637"/>
    <w:rsid w:val="00A31C49"/>
    <w:rsid w:val="00A32183"/>
    <w:rsid w:val="00A35732"/>
    <w:rsid w:val="00A406C0"/>
    <w:rsid w:val="00A41C22"/>
    <w:rsid w:val="00A433E0"/>
    <w:rsid w:val="00A43A39"/>
    <w:rsid w:val="00A44F3A"/>
    <w:rsid w:val="00A453F3"/>
    <w:rsid w:val="00A47FD5"/>
    <w:rsid w:val="00A543F0"/>
    <w:rsid w:val="00A54E0D"/>
    <w:rsid w:val="00A54F88"/>
    <w:rsid w:val="00A55FBF"/>
    <w:rsid w:val="00A57299"/>
    <w:rsid w:val="00A57587"/>
    <w:rsid w:val="00A600BD"/>
    <w:rsid w:val="00A6116E"/>
    <w:rsid w:val="00A61738"/>
    <w:rsid w:val="00A61C36"/>
    <w:rsid w:val="00A62820"/>
    <w:rsid w:val="00A64659"/>
    <w:rsid w:val="00A64E37"/>
    <w:rsid w:val="00A65628"/>
    <w:rsid w:val="00A7108F"/>
    <w:rsid w:val="00A7359D"/>
    <w:rsid w:val="00A7664F"/>
    <w:rsid w:val="00A807D0"/>
    <w:rsid w:val="00A81A0E"/>
    <w:rsid w:val="00A83996"/>
    <w:rsid w:val="00A848F8"/>
    <w:rsid w:val="00A86081"/>
    <w:rsid w:val="00A86334"/>
    <w:rsid w:val="00A90CD7"/>
    <w:rsid w:val="00A92093"/>
    <w:rsid w:val="00A92664"/>
    <w:rsid w:val="00A94949"/>
    <w:rsid w:val="00A968AE"/>
    <w:rsid w:val="00AA065E"/>
    <w:rsid w:val="00AA2C36"/>
    <w:rsid w:val="00AA3B6C"/>
    <w:rsid w:val="00AA5A02"/>
    <w:rsid w:val="00AD0C2B"/>
    <w:rsid w:val="00AD3763"/>
    <w:rsid w:val="00AD61BF"/>
    <w:rsid w:val="00AD6C17"/>
    <w:rsid w:val="00AD7D5D"/>
    <w:rsid w:val="00AE2FA2"/>
    <w:rsid w:val="00AE32EA"/>
    <w:rsid w:val="00AE7737"/>
    <w:rsid w:val="00AF2015"/>
    <w:rsid w:val="00AF2487"/>
    <w:rsid w:val="00AF5985"/>
    <w:rsid w:val="00AF636A"/>
    <w:rsid w:val="00B03CC9"/>
    <w:rsid w:val="00B04E62"/>
    <w:rsid w:val="00B100CE"/>
    <w:rsid w:val="00B138B9"/>
    <w:rsid w:val="00B13A3E"/>
    <w:rsid w:val="00B140CD"/>
    <w:rsid w:val="00B201E3"/>
    <w:rsid w:val="00B22B0B"/>
    <w:rsid w:val="00B231A5"/>
    <w:rsid w:val="00B26834"/>
    <w:rsid w:val="00B33A75"/>
    <w:rsid w:val="00B34765"/>
    <w:rsid w:val="00B34C57"/>
    <w:rsid w:val="00B43095"/>
    <w:rsid w:val="00B44E62"/>
    <w:rsid w:val="00B4503D"/>
    <w:rsid w:val="00B526FF"/>
    <w:rsid w:val="00B611E1"/>
    <w:rsid w:val="00B631C9"/>
    <w:rsid w:val="00B64039"/>
    <w:rsid w:val="00B66357"/>
    <w:rsid w:val="00B6667E"/>
    <w:rsid w:val="00B66A09"/>
    <w:rsid w:val="00B744E4"/>
    <w:rsid w:val="00B757A1"/>
    <w:rsid w:val="00B77561"/>
    <w:rsid w:val="00B84E1B"/>
    <w:rsid w:val="00B8630A"/>
    <w:rsid w:val="00B90BC0"/>
    <w:rsid w:val="00B94B28"/>
    <w:rsid w:val="00B96E01"/>
    <w:rsid w:val="00BB272B"/>
    <w:rsid w:val="00BB2E86"/>
    <w:rsid w:val="00BB462F"/>
    <w:rsid w:val="00BB4698"/>
    <w:rsid w:val="00BC6EBD"/>
    <w:rsid w:val="00BC7EE0"/>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406A"/>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5DEE"/>
    <w:rsid w:val="00C844B7"/>
    <w:rsid w:val="00C8660F"/>
    <w:rsid w:val="00C87894"/>
    <w:rsid w:val="00C94D10"/>
    <w:rsid w:val="00C973A0"/>
    <w:rsid w:val="00CA0B40"/>
    <w:rsid w:val="00CA173A"/>
    <w:rsid w:val="00CB2A7D"/>
    <w:rsid w:val="00CB4EA0"/>
    <w:rsid w:val="00CB7B74"/>
    <w:rsid w:val="00CC209F"/>
    <w:rsid w:val="00CE12E0"/>
    <w:rsid w:val="00CE50BF"/>
    <w:rsid w:val="00CE67E6"/>
    <w:rsid w:val="00CF073A"/>
    <w:rsid w:val="00D0128D"/>
    <w:rsid w:val="00D037B5"/>
    <w:rsid w:val="00D0396B"/>
    <w:rsid w:val="00D05639"/>
    <w:rsid w:val="00D05B0C"/>
    <w:rsid w:val="00D06577"/>
    <w:rsid w:val="00D07D06"/>
    <w:rsid w:val="00D12A9E"/>
    <w:rsid w:val="00D1338D"/>
    <w:rsid w:val="00D14756"/>
    <w:rsid w:val="00D17885"/>
    <w:rsid w:val="00D204F3"/>
    <w:rsid w:val="00D232F2"/>
    <w:rsid w:val="00D263E8"/>
    <w:rsid w:val="00D26C9D"/>
    <w:rsid w:val="00D30ADC"/>
    <w:rsid w:val="00D3198D"/>
    <w:rsid w:val="00D33846"/>
    <w:rsid w:val="00D3398B"/>
    <w:rsid w:val="00D3540B"/>
    <w:rsid w:val="00D36D21"/>
    <w:rsid w:val="00D4046D"/>
    <w:rsid w:val="00D43169"/>
    <w:rsid w:val="00D629CE"/>
    <w:rsid w:val="00D63A27"/>
    <w:rsid w:val="00D65BED"/>
    <w:rsid w:val="00D65D7F"/>
    <w:rsid w:val="00D663AB"/>
    <w:rsid w:val="00D668B8"/>
    <w:rsid w:val="00D72D72"/>
    <w:rsid w:val="00D73472"/>
    <w:rsid w:val="00D7504E"/>
    <w:rsid w:val="00D76F8F"/>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E1B2D"/>
    <w:rsid w:val="00DF024F"/>
    <w:rsid w:val="00DF1B86"/>
    <w:rsid w:val="00DF2C6A"/>
    <w:rsid w:val="00DF4474"/>
    <w:rsid w:val="00DF6B2D"/>
    <w:rsid w:val="00E02097"/>
    <w:rsid w:val="00E0209F"/>
    <w:rsid w:val="00E02523"/>
    <w:rsid w:val="00E146ED"/>
    <w:rsid w:val="00E14B4D"/>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3144"/>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47CB"/>
    <w:rsid w:val="00EF642A"/>
    <w:rsid w:val="00EF7BE9"/>
    <w:rsid w:val="00F04688"/>
    <w:rsid w:val="00F07B0B"/>
    <w:rsid w:val="00F10345"/>
    <w:rsid w:val="00F1292B"/>
    <w:rsid w:val="00F20930"/>
    <w:rsid w:val="00F238C8"/>
    <w:rsid w:val="00F23A6D"/>
    <w:rsid w:val="00F24CDA"/>
    <w:rsid w:val="00F2726A"/>
    <w:rsid w:val="00F27A10"/>
    <w:rsid w:val="00F27A62"/>
    <w:rsid w:val="00F43894"/>
    <w:rsid w:val="00F45679"/>
    <w:rsid w:val="00F47045"/>
    <w:rsid w:val="00F54D7F"/>
    <w:rsid w:val="00F56E3D"/>
    <w:rsid w:val="00F65F73"/>
    <w:rsid w:val="00F67529"/>
    <w:rsid w:val="00F82793"/>
    <w:rsid w:val="00F86020"/>
    <w:rsid w:val="00F87506"/>
    <w:rsid w:val="00F875A8"/>
    <w:rsid w:val="00F87F94"/>
    <w:rsid w:val="00F940D3"/>
    <w:rsid w:val="00F95344"/>
    <w:rsid w:val="00FA062F"/>
    <w:rsid w:val="00FA6DA6"/>
    <w:rsid w:val="00FA78C6"/>
    <w:rsid w:val="00FB502A"/>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A86334"/>
    <w:rPr>
      <w:rFonts w:ascii="Arial" w:hAnsi="Arial"/>
    </w:rPr>
  </w:style>
  <w:style w:type="character" w:customStyle="1" w:styleId="UnresolvedMention">
    <w:name w:val="Unresolved Mention"/>
    <w:basedOn w:val="DefaultParagraphFont"/>
    <w:uiPriority w:val="99"/>
    <w:semiHidden/>
    <w:unhideWhenUsed/>
    <w:rsid w:val="00DE1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us@dormakab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8A6D-D309-4322-9200-B56A8E9045DA}">
  <ds:schemaRefs>
    <ds:schemaRef ds:uri="http://schemas.microsoft.com/sharepoint/v3/contenttype/forms"/>
  </ds:schemaRefs>
</ds:datastoreItem>
</file>

<file path=customXml/itemProps2.xml><?xml version="1.0" encoding="utf-8"?>
<ds:datastoreItem xmlns:ds="http://schemas.openxmlformats.org/officeDocument/2006/customXml" ds:itemID="{FB098BA7-97BC-495D-9A37-98F4710DE2E2}"/>
</file>

<file path=customXml/itemProps3.xml><?xml version="1.0" encoding="utf-8"?>
<ds:datastoreItem xmlns:ds="http://schemas.openxmlformats.org/officeDocument/2006/customXml" ds:itemID="{66D463F2-D049-4D3B-A11C-2AA03E1A5902}">
  <ds:schemaRefs>
    <ds:schemaRef ds:uri="http://schemas.microsoft.com/office/2006/metadata/properties"/>
    <ds:schemaRef ds:uri="http://schemas.microsoft.com/office/infopath/2007/PartnerControls"/>
    <ds:schemaRef ds:uri="3f667bdd-c545-4829-8621-3d7291bb8f24"/>
  </ds:schemaRefs>
</ds:datastoreItem>
</file>

<file path=customXml/itemProps4.xml><?xml version="1.0" encoding="utf-8"?>
<ds:datastoreItem xmlns:ds="http://schemas.openxmlformats.org/officeDocument/2006/customXml" ds:itemID="{CD4A6512-55D4-4231-A7CF-F75EAE5B16AB}">
  <ds:schemaRefs>
    <ds:schemaRef ds:uri="http://schemas.openxmlformats.org/officeDocument/2006/bibliography"/>
  </ds:schemaRefs>
</ds:datastoreItem>
</file>

<file path=customXml/itemProps5.xml><?xml version="1.0" encoding="utf-8"?>
<ds:datastoreItem xmlns:ds="http://schemas.openxmlformats.org/officeDocument/2006/customXml" ds:itemID="{BF7370A9-006C-4489-B33A-D4A27F29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8383</TotalTime>
  <Pages>12</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34</cp:revision>
  <cp:lastPrinted>2013-03-08T14:28:00Z</cp:lastPrinted>
  <dcterms:created xsi:type="dcterms:W3CDTF">2017-05-17T14:50:00Z</dcterms:created>
  <dcterms:modified xsi:type="dcterms:W3CDTF">2022-08-19T09:50:00Z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