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16A" w:rsidRPr="005D6E2D" w:rsidRDefault="00CC1386" w:rsidP="00CE316A">
      <w:pPr>
        <w:pStyle w:val="CMTGreen"/>
        <w:rPr>
          <w:lang w:val="fr-CA"/>
        </w:rPr>
      </w:pPr>
      <w:bookmarkStart w:id="0" w:name="_Hlk497118732"/>
      <w:bookmarkStart w:id="1" w:name="OLE_LINK1"/>
      <w:bookmarkStart w:id="2" w:name="OLE_LINK2"/>
      <w:r>
        <w:rPr>
          <w:rFonts w:eastAsia="Arial"/>
          <w:b/>
          <w:bCs/>
          <w:szCs w:val="18"/>
          <w:lang w:val="fr-CA"/>
        </w:rPr>
        <w:t>Remarque pour l’échantillonneur :</w:t>
      </w:r>
      <w:r>
        <w:rPr>
          <w:rFonts w:eastAsia="Arial"/>
          <w:szCs w:val="18"/>
          <w:lang w:val="fr-CA"/>
        </w:rPr>
        <w:t xml:space="preserve"> </w:t>
      </w:r>
      <w:r>
        <w:rPr>
          <w:rFonts w:eastAsia="Arial" w:cs="Arial"/>
          <w:b/>
          <w:bCs/>
          <w:sz w:val="20"/>
          <w:lang w:val="fr-CA"/>
        </w:rPr>
        <w:t xml:space="preserve">Cette spécification concerne les projets où un actionneur de porte automatique, à faible énergie et à l’intérieur sera généralement la base du design.  L’actionneur de porte </w:t>
      </w:r>
      <w:proofErr w:type="spellStart"/>
      <w:r>
        <w:rPr>
          <w:rFonts w:eastAsia="Arial" w:cs="Arial"/>
          <w:b/>
          <w:bCs/>
          <w:sz w:val="20"/>
          <w:lang w:val="fr-CA"/>
        </w:rPr>
        <w:t>a</w:t>
      </w:r>
      <w:proofErr w:type="spellEnd"/>
      <w:r>
        <w:rPr>
          <w:rFonts w:eastAsia="Arial" w:cs="Arial"/>
          <w:b/>
          <w:bCs/>
          <w:sz w:val="20"/>
          <w:lang w:val="fr-CA"/>
        </w:rPr>
        <w:t xml:space="preserve"> la sensation de pousser/tirer d’une porte manuelle, mais a la capacité complète de fonctionner automatiquement. Les spécifications doivent être examinées pour en vérifier l’applicabilité par projet. </w:t>
      </w:r>
    </w:p>
    <w:bookmarkEnd w:id="0"/>
    <w:p w:rsidR="00510CB8" w:rsidRPr="005D6E2D" w:rsidRDefault="00CC1386" w:rsidP="00A20F77">
      <w:pPr>
        <w:pStyle w:val="SCT"/>
        <w:tabs>
          <w:tab w:val="left" w:pos="5505"/>
        </w:tabs>
        <w:jc w:val="left"/>
        <w:rPr>
          <w:lang w:val="fr-CA"/>
        </w:rPr>
      </w:pPr>
      <w:r>
        <w:rPr>
          <w:rFonts w:eastAsia="Arial"/>
          <w:lang w:val="fr-CA"/>
        </w:rPr>
        <w:t>SECTION 08 71 13 –</w:t>
      </w:r>
      <w:bookmarkEnd w:id="1"/>
      <w:bookmarkEnd w:id="2"/>
      <w:r>
        <w:rPr>
          <w:rFonts w:eastAsia="Arial"/>
          <w:lang w:val="fr-CA"/>
        </w:rPr>
        <w:t xml:space="preserve"> ACTIONNEURS DE PORTE AUTOMATIQUES</w:t>
      </w:r>
      <w:r>
        <w:rPr>
          <w:rFonts w:eastAsia="Arial"/>
          <w:lang w:val="fr-CA"/>
        </w:rPr>
        <w:tab/>
      </w:r>
    </w:p>
    <w:p w:rsidR="00FA6DA6" w:rsidRPr="00AB4664" w:rsidRDefault="00CC1386" w:rsidP="00DC0B55">
      <w:pPr>
        <w:pStyle w:val="PRT"/>
        <w:tabs>
          <w:tab w:val="left" w:pos="6090"/>
        </w:tabs>
      </w:pPr>
      <w:r>
        <w:rPr>
          <w:rFonts w:eastAsia="Arial"/>
          <w:lang w:val="fr-CA"/>
        </w:rPr>
        <w:t>PARTIE 1 GÉNÉRALITÉS</w:t>
      </w:r>
    </w:p>
    <w:p w:rsidR="00FA6DA6" w:rsidRPr="00AB4664" w:rsidRDefault="00CC1386" w:rsidP="00FA6DA6">
      <w:pPr>
        <w:pStyle w:val="ART"/>
        <w:tabs>
          <w:tab w:val="num" w:pos="864"/>
        </w:tabs>
        <w:spacing w:before="480"/>
      </w:pPr>
      <w:r>
        <w:rPr>
          <w:rFonts w:eastAsia="Arial"/>
          <w:lang w:val="fr-CA"/>
        </w:rPr>
        <w:t>DOCUMENTS CONNEXES</w:t>
      </w:r>
    </w:p>
    <w:p w:rsidR="00FA6DA6" w:rsidRPr="00AB4664" w:rsidRDefault="00CC1386" w:rsidP="00254D78">
      <w:pPr>
        <w:pStyle w:val="PR1"/>
        <w:tabs>
          <w:tab w:val="num" w:pos="864"/>
        </w:tabs>
        <w:jc w:val="left"/>
      </w:pPr>
      <w:r>
        <w:rPr>
          <w:rFonts w:eastAsia="Arial"/>
          <w:lang w:val="fr-CA"/>
        </w:rPr>
        <w:t>Les dessins et les dispositions générales du Contrat, y compris les Conditions générales et supplémentaires et les Sections des spécifications de la Division 01, s’appliquent à cette Section.</w:t>
      </w:r>
    </w:p>
    <w:p w:rsidR="00FA6DA6" w:rsidRPr="00AB4664" w:rsidRDefault="00CC1386" w:rsidP="00FA6DA6">
      <w:pPr>
        <w:pStyle w:val="ART"/>
        <w:tabs>
          <w:tab w:val="num" w:pos="864"/>
        </w:tabs>
        <w:spacing w:before="480"/>
      </w:pPr>
      <w:r>
        <w:rPr>
          <w:rFonts w:eastAsia="Arial"/>
          <w:lang w:val="fr-CA"/>
        </w:rPr>
        <w:t>RÉSUMÉ</w:t>
      </w:r>
    </w:p>
    <w:p w:rsidR="00FA6DA6" w:rsidRPr="00AB4664" w:rsidRDefault="00CC1386" w:rsidP="00FA6DA6">
      <w:pPr>
        <w:pStyle w:val="PR1"/>
        <w:tabs>
          <w:tab w:val="num" w:pos="864"/>
        </w:tabs>
      </w:pPr>
      <w:r>
        <w:rPr>
          <w:rFonts w:eastAsia="Arial"/>
          <w:lang w:val="fr-CA"/>
        </w:rPr>
        <w:t xml:space="preserve"> Cette section comprend les types d’actionneurs de porte automatiques suivants :</w:t>
      </w:r>
    </w:p>
    <w:p w:rsidR="00FA6DA6" w:rsidRPr="00AB4664" w:rsidRDefault="00CC1386" w:rsidP="00FA6DA6">
      <w:pPr>
        <w:pStyle w:val="PR2"/>
        <w:tabs>
          <w:tab w:val="num" w:pos="1440"/>
        </w:tabs>
      </w:pPr>
      <w:r>
        <w:rPr>
          <w:rFonts w:eastAsia="Arial"/>
          <w:lang w:val="fr-CA"/>
        </w:rPr>
        <w:t>Actionneurs de porte intérieurs à faible énergie pour portes battantes.</w:t>
      </w:r>
    </w:p>
    <w:p w:rsidR="00FA6DA6" w:rsidRPr="00AB4664" w:rsidRDefault="00CC1386" w:rsidP="00FA6DA6">
      <w:pPr>
        <w:pStyle w:val="PR1"/>
        <w:tabs>
          <w:tab w:val="num" w:pos="864"/>
        </w:tabs>
      </w:pPr>
      <w:r>
        <w:rPr>
          <w:rFonts w:eastAsia="Arial"/>
          <w:lang w:val="fr-CA"/>
        </w:rPr>
        <w:t>Sections connexes :</w:t>
      </w:r>
    </w:p>
    <w:p w:rsidR="00FA6DA6" w:rsidRPr="00AB4664" w:rsidRDefault="00CC1386" w:rsidP="00FA6DA6">
      <w:pPr>
        <w:pStyle w:val="PR2"/>
        <w:tabs>
          <w:tab w:val="num" w:pos="1440"/>
        </w:tabs>
      </w:pPr>
      <w:r>
        <w:rPr>
          <w:rFonts w:eastAsia="Arial"/>
          <w:lang w:val="fr-CA"/>
        </w:rPr>
        <w:t>Sections de la Division 7 pour le calfeutrage dans la mesure non spécifiée dans cette section.</w:t>
      </w:r>
    </w:p>
    <w:p w:rsidR="00FA6DA6" w:rsidRPr="00AB4664" w:rsidRDefault="00CC1386" w:rsidP="00FA6DA6">
      <w:pPr>
        <w:pStyle w:val="PR2"/>
        <w:tabs>
          <w:tab w:val="num" w:pos="1440"/>
        </w:tabs>
      </w:pPr>
      <w:r>
        <w:rPr>
          <w:rFonts w:eastAsia="Arial"/>
          <w:lang w:val="fr-CA"/>
        </w:rPr>
        <w:t xml:space="preserve">Sections de la Division 8 pour les « Entrées et vitrines avec cadre en aluminium » pour les entrées meublées et installées séparément dans la Section de la Division 8. </w:t>
      </w:r>
    </w:p>
    <w:p w:rsidR="00FA6DA6" w:rsidRPr="00AB4664" w:rsidRDefault="00CC1386" w:rsidP="00FA6DA6">
      <w:pPr>
        <w:pStyle w:val="PR2"/>
        <w:tabs>
          <w:tab w:val="num" w:pos="1440"/>
        </w:tabs>
      </w:pPr>
      <w:r>
        <w:rPr>
          <w:rFonts w:eastAsia="Arial"/>
          <w:lang w:val="fr-CA"/>
        </w:rPr>
        <w:t>Division 8 Section « Quincaillerie de porte » pour le matériel dans la mesure non spécifiée dans cette section.</w:t>
      </w:r>
    </w:p>
    <w:p w:rsidR="00FA6DA6" w:rsidRPr="00AB4664" w:rsidRDefault="00CC1386" w:rsidP="00FA6DA6">
      <w:pPr>
        <w:pStyle w:val="PR2"/>
        <w:tabs>
          <w:tab w:val="num" w:pos="1440"/>
        </w:tabs>
      </w:pPr>
      <w:r>
        <w:rPr>
          <w:rFonts w:eastAsia="Arial"/>
          <w:lang w:val="fr-CA"/>
        </w:rPr>
        <w:t>Division 8 Section « Vitrage » pour les matériaux et les exigences d’installation du vitrage pour les entrées automatiques.</w:t>
      </w:r>
    </w:p>
    <w:p w:rsidR="00FA6DA6" w:rsidRPr="00AB4664" w:rsidRDefault="00CC1386" w:rsidP="00FA6DA6">
      <w:pPr>
        <w:pStyle w:val="PR2"/>
        <w:tabs>
          <w:tab w:val="num" w:pos="1440"/>
        </w:tabs>
      </w:pPr>
      <w:r>
        <w:rPr>
          <w:rFonts w:eastAsia="Arial"/>
          <w:lang w:val="fr-CA"/>
        </w:rPr>
        <w:t>Sections 26 et 28 pour les connexions électriques, y compris les conduits et le câblage pour les actionneurs d’entrée automatique et les dispositifs de contrôle d’accès.</w:t>
      </w:r>
    </w:p>
    <w:p w:rsidR="00013F14" w:rsidRPr="00AB4664" w:rsidRDefault="00CC1386" w:rsidP="00013F14">
      <w:pPr>
        <w:pStyle w:val="ART"/>
        <w:tabs>
          <w:tab w:val="num" w:pos="864"/>
        </w:tabs>
        <w:spacing w:before="480"/>
      </w:pPr>
      <w:r>
        <w:rPr>
          <w:rFonts w:eastAsia="Arial"/>
          <w:lang w:val="fr-CA"/>
        </w:rPr>
        <w:t>RÉFÉRENCES</w:t>
      </w:r>
    </w:p>
    <w:p w:rsidR="00013F14" w:rsidRPr="00AB4664" w:rsidRDefault="00CC1386" w:rsidP="00013F14">
      <w:pPr>
        <w:pStyle w:val="PR1"/>
      </w:pPr>
      <w:r>
        <w:rPr>
          <w:rFonts w:eastAsia="Arial"/>
          <w:lang w:val="fr-CA"/>
        </w:rPr>
        <w:t xml:space="preserve">Références :  Se conformer à l’année de la version adoptée par l’autorité compétente.   </w:t>
      </w:r>
    </w:p>
    <w:p w:rsidR="00013F14" w:rsidRPr="00AB4664" w:rsidRDefault="00CC1386" w:rsidP="00013F14">
      <w:pPr>
        <w:pStyle w:val="PR2"/>
      </w:pPr>
      <w:r>
        <w:rPr>
          <w:rFonts w:eastAsia="Arial"/>
          <w:lang w:val="fr-CA"/>
        </w:rPr>
        <w:t>ANSI A117.1 – Bâtiments et installations accessibles et utilisables.</w:t>
      </w:r>
    </w:p>
    <w:p w:rsidR="00013F14" w:rsidRPr="00AB4664" w:rsidRDefault="00CC1386" w:rsidP="00013F14">
      <w:pPr>
        <w:pStyle w:val="PR2"/>
      </w:pPr>
      <w:r>
        <w:rPr>
          <w:rFonts w:eastAsia="Arial"/>
          <w:lang w:val="fr-CA"/>
        </w:rPr>
        <w:t>ICC/IBC - Code international du bâtiment.</w:t>
      </w:r>
    </w:p>
    <w:p w:rsidR="00013F14" w:rsidRPr="00AB4664" w:rsidRDefault="00CC1386" w:rsidP="00013F14">
      <w:pPr>
        <w:pStyle w:val="PR2"/>
      </w:pPr>
      <w:r>
        <w:rPr>
          <w:rFonts w:eastAsia="Arial"/>
          <w:lang w:val="fr-CA"/>
        </w:rPr>
        <w:t>CUL – Approuvé pour une utilisation au Canada.</w:t>
      </w:r>
    </w:p>
    <w:p w:rsidR="00013F14" w:rsidRPr="00AB4664" w:rsidRDefault="00CC1386" w:rsidP="00013F14">
      <w:pPr>
        <w:pStyle w:val="PR2"/>
      </w:pPr>
      <w:r>
        <w:rPr>
          <w:rFonts w:eastAsia="Arial"/>
          <w:lang w:val="fr-CA"/>
        </w:rPr>
        <w:t>NFPA 70 – Code national de l’électricité.</w:t>
      </w:r>
    </w:p>
    <w:p w:rsidR="00013F14" w:rsidRPr="00AB4664" w:rsidRDefault="00CC1386" w:rsidP="00013F14">
      <w:pPr>
        <w:pStyle w:val="PR2"/>
      </w:pPr>
      <w:r>
        <w:rPr>
          <w:rFonts w:eastAsia="Arial"/>
          <w:lang w:val="fr-CA"/>
        </w:rPr>
        <w:t>NFPA 80 - Portes coupe-feu et fenêtres.</w:t>
      </w:r>
    </w:p>
    <w:p w:rsidR="00013F14" w:rsidRPr="00AB4664" w:rsidRDefault="00CC1386" w:rsidP="00013F14">
      <w:pPr>
        <w:pStyle w:val="PR2"/>
      </w:pPr>
      <w:r>
        <w:rPr>
          <w:rFonts w:eastAsia="Arial"/>
          <w:lang w:val="fr-CA"/>
        </w:rPr>
        <w:t>NFPA 101 - Code de sécurité des personnes.</w:t>
      </w:r>
    </w:p>
    <w:p w:rsidR="00013F14" w:rsidRPr="00AB4664" w:rsidRDefault="00CC1386" w:rsidP="00013F14">
      <w:pPr>
        <w:pStyle w:val="PR2"/>
      </w:pPr>
      <w:r>
        <w:rPr>
          <w:rFonts w:eastAsia="Arial"/>
          <w:lang w:val="fr-CA"/>
        </w:rPr>
        <w:t>NFPA 105 - Installation des ensembles de portes fumigènes.</w:t>
      </w:r>
    </w:p>
    <w:p w:rsidR="00013F14" w:rsidRPr="00AB4664" w:rsidRDefault="00CC1386" w:rsidP="00013F14">
      <w:pPr>
        <w:pStyle w:val="PR1"/>
      </w:pPr>
      <w:r w:rsidRPr="005D6E2D">
        <w:rPr>
          <w:rFonts w:eastAsia="Arial"/>
          <w:lang w:val="en-US"/>
        </w:rPr>
        <w:t>American National Standards Institute (ANSI) / Builders Hardware Manufacturers Association (BHMA).</w:t>
      </w:r>
    </w:p>
    <w:p w:rsidR="00013F14" w:rsidRPr="00AB4664" w:rsidRDefault="00CC1386" w:rsidP="00013F14">
      <w:pPr>
        <w:pStyle w:val="PR2"/>
      </w:pPr>
      <w:r>
        <w:rPr>
          <w:rFonts w:eastAsia="Arial"/>
          <w:lang w:val="fr-CA"/>
        </w:rPr>
        <w:t>ANSI/BHMA A156.19 Standards pour l’assistance électrique et les portes à faible énergie.</w:t>
      </w:r>
    </w:p>
    <w:p w:rsidR="00013F14" w:rsidRPr="00AB4664" w:rsidRDefault="00CC1386" w:rsidP="00013F14">
      <w:pPr>
        <w:pStyle w:val="PR1"/>
      </w:pPr>
      <w:proofErr w:type="spellStart"/>
      <w:r>
        <w:rPr>
          <w:rFonts w:eastAsia="Arial"/>
          <w:lang w:val="fr-CA"/>
        </w:rPr>
        <w:lastRenderedPageBreak/>
        <w:t>Underwriters</w:t>
      </w:r>
      <w:proofErr w:type="spellEnd"/>
      <w:r>
        <w:rPr>
          <w:rFonts w:eastAsia="Arial"/>
          <w:lang w:val="fr-CA"/>
        </w:rPr>
        <w:t xml:space="preserve"> </w:t>
      </w:r>
      <w:proofErr w:type="spellStart"/>
      <w:r>
        <w:rPr>
          <w:rFonts w:eastAsia="Arial"/>
          <w:lang w:val="fr-CA"/>
        </w:rPr>
        <w:t>Laboratories</w:t>
      </w:r>
      <w:proofErr w:type="spellEnd"/>
      <w:r>
        <w:rPr>
          <w:rFonts w:eastAsia="Arial"/>
          <w:lang w:val="fr-CA"/>
        </w:rPr>
        <w:t xml:space="preserve"> (UL).</w:t>
      </w:r>
    </w:p>
    <w:p w:rsidR="00013F14" w:rsidRPr="00AB4664" w:rsidRDefault="00CC1386" w:rsidP="00013F14">
      <w:pPr>
        <w:pStyle w:val="PR2"/>
      </w:pPr>
      <w:r>
        <w:rPr>
          <w:rFonts w:eastAsia="Arial"/>
          <w:lang w:val="fr-CA"/>
        </w:rPr>
        <w:t>UL10C – Essais de résistance au feu à pression positive des assemblages de porte.</w:t>
      </w:r>
    </w:p>
    <w:p w:rsidR="00013F14" w:rsidRPr="00AB4664" w:rsidRDefault="00CC1386" w:rsidP="00013F14">
      <w:pPr>
        <w:pStyle w:val="PR2"/>
      </w:pPr>
      <w:r>
        <w:rPr>
          <w:rFonts w:eastAsia="Arial"/>
          <w:lang w:val="fr-CA"/>
        </w:rPr>
        <w:t>UL 325 - Standard pour la sécurité des actionneurs et systèmes de portes, de rideaux, de barrières, de persiennes et de fenêtres.</w:t>
      </w:r>
    </w:p>
    <w:p w:rsidR="00013F14" w:rsidRPr="00AB4664" w:rsidRDefault="00CC1386" w:rsidP="00013F14">
      <w:pPr>
        <w:pStyle w:val="PR1"/>
      </w:pPr>
      <w:r w:rsidRPr="005D6E2D">
        <w:rPr>
          <w:rFonts w:eastAsia="Arial"/>
          <w:lang w:val="en-US"/>
        </w:rPr>
        <w:t>American Association of Automatic Door Manufacturers (AAADM).</w:t>
      </w:r>
    </w:p>
    <w:p w:rsidR="00013F14" w:rsidRPr="00AB4664" w:rsidRDefault="00CC1386" w:rsidP="00013F14">
      <w:pPr>
        <w:pStyle w:val="PR1"/>
      </w:pPr>
      <w:r w:rsidRPr="005D6E2D">
        <w:rPr>
          <w:rFonts w:eastAsia="Arial"/>
          <w:lang w:val="en-US"/>
        </w:rPr>
        <w:t>American Society for Testing and Materials (ASTM).</w:t>
      </w:r>
    </w:p>
    <w:p w:rsidR="00013F14" w:rsidRPr="00AB4664" w:rsidRDefault="00CC1386" w:rsidP="00013F14">
      <w:pPr>
        <w:pStyle w:val="PR2"/>
      </w:pPr>
      <w:r w:rsidRPr="005D6E2D">
        <w:rPr>
          <w:rFonts w:eastAsia="Arial"/>
          <w:lang w:val="en-US"/>
        </w:rPr>
        <w:t>ASTM B221 Standard Specification for Aluminum and Aluminum Alloy Extruded Bars, Rods, Wire, Profiles and Tubes.</w:t>
      </w:r>
    </w:p>
    <w:p w:rsidR="00013F14" w:rsidRPr="00AB4664" w:rsidRDefault="00CC1386" w:rsidP="00013F14">
      <w:pPr>
        <w:pStyle w:val="PR2"/>
      </w:pPr>
      <w:r w:rsidRPr="005D6E2D">
        <w:rPr>
          <w:rFonts w:eastAsia="Arial"/>
          <w:lang w:val="en-US"/>
        </w:rPr>
        <w:t>ASTM B209 Standard Specification for Aluminum and Aluminum Alloy Sheet and Plate.</w:t>
      </w:r>
    </w:p>
    <w:p w:rsidR="00013F14" w:rsidRPr="00AB4664" w:rsidRDefault="00CC1386" w:rsidP="00013F14">
      <w:pPr>
        <w:pStyle w:val="PR1"/>
      </w:pPr>
      <w:r w:rsidRPr="005D6E2D">
        <w:rPr>
          <w:rFonts w:eastAsia="Arial"/>
          <w:lang w:val="en-US"/>
        </w:rPr>
        <w:t>American Architectural Manufacturers Association (AAMA).</w:t>
      </w:r>
    </w:p>
    <w:p w:rsidR="00013F14" w:rsidRPr="00AB4664" w:rsidRDefault="00CC1386" w:rsidP="00013F14">
      <w:pPr>
        <w:pStyle w:val="PR2"/>
      </w:pPr>
      <w:r>
        <w:rPr>
          <w:rFonts w:eastAsia="Arial"/>
          <w:lang w:val="fr-CA"/>
        </w:rPr>
        <w:t>AAMA 611 Spécification volontaire pour l’aluminium anodisé architectural.</w:t>
      </w:r>
    </w:p>
    <w:p w:rsidR="00013F14" w:rsidRPr="00AB4664" w:rsidRDefault="00CC1386" w:rsidP="00013F14">
      <w:pPr>
        <w:pStyle w:val="PR1"/>
      </w:pPr>
      <w:r w:rsidRPr="005D6E2D">
        <w:rPr>
          <w:rFonts w:eastAsia="Arial"/>
          <w:lang w:val="en-US"/>
        </w:rPr>
        <w:t>National Association of Architectural Metal Manufacturers (NAAMM).</w:t>
      </w:r>
    </w:p>
    <w:p w:rsidR="00013F14" w:rsidRPr="00AB4664" w:rsidRDefault="00CC1386" w:rsidP="00013F14">
      <w:pPr>
        <w:pStyle w:val="PR2"/>
      </w:pPr>
      <w:r>
        <w:rPr>
          <w:rFonts w:eastAsia="Arial"/>
          <w:lang w:val="fr-CA"/>
        </w:rPr>
        <w:t>Manuel des finis métalliques pour les produits métalliques architecturaux.</w:t>
      </w:r>
    </w:p>
    <w:p w:rsidR="00013F14" w:rsidRPr="00AB4664" w:rsidRDefault="00CC1386" w:rsidP="00013F14">
      <w:pPr>
        <w:pStyle w:val="PR1"/>
      </w:pPr>
      <w:r>
        <w:rPr>
          <w:rFonts w:eastAsia="Arial"/>
          <w:lang w:val="fr-CA"/>
        </w:rPr>
        <w:t>International Code Council (IBC).</w:t>
      </w:r>
    </w:p>
    <w:p w:rsidR="00013F14" w:rsidRDefault="00CC1386" w:rsidP="00013F14">
      <w:pPr>
        <w:pStyle w:val="PR2"/>
      </w:pPr>
      <w:r>
        <w:rPr>
          <w:rFonts w:eastAsia="Arial"/>
          <w:lang w:val="fr-CA"/>
        </w:rPr>
        <w:t>IBC :  Code international du bâtiment.</w:t>
      </w:r>
    </w:p>
    <w:p w:rsidR="005D5A9F" w:rsidRPr="0037191B" w:rsidRDefault="00CC1386" w:rsidP="005D5A9F">
      <w:pPr>
        <w:pStyle w:val="PR2"/>
        <w:rPr>
          <w:b/>
        </w:rPr>
      </w:pPr>
      <w:r>
        <w:rPr>
          <w:rFonts w:eastAsia="Arial"/>
          <w:b/>
          <w:bCs/>
          <w:lang w:val="fr-CA"/>
        </w:rPr>
        <w:t>[CBC : Code du bâtiment de la Californie.]</w:t>
      </w:r>
    </w:p>
    <w:p w:rsidR="005D5A9F" w:rsidRPr="00AB4664" w:rsidRDefault="005D5A9F" w:rsidP="00815620">
      <w:pPr>
        <w:pStyle w:val="PR2"/>
        <w:numPr>
          <w:ilvl w:val="0"/>
          <w:numId w:val="0"/>
        </w:numPr>
        <w:ind w:left="1440"/>
      </w:pPr>
    </w:p>
    <w:p w:rsidR="00FA6DA6" w:rsidRPr="00AB4664" w:rsidRDefault="00CC1386" w:rsidP="00FA6DA6">
      <w:pPr>
        <w:pStyle w:val="ART"/>
        <w:tabs>
          <w:tab w:val="num" w:pos="864"/>
        </w:tabs>
        <w:spacing w:before="480"/>
      </w:pPr>
      <w:r>
        <w:rPr>
          <w:rFonts w:eastAsia="Arial"/>
          <w:lang w:val="fr-CA"/>
        </w:rPr>
        <w:t>DÉFINITIONS</w:t>
      </w:r>
    </w:p>
    <w:p w:rsidR="00FA6DA6" w:rsidRPr="00AB4664" w:rsidRDefault="00CC1386" w:rsidP="00FA6DA6">
      <w:pPr>
        <w:pStyle w:val="PR1"/>
        <w:tabs>
          <w:tab w:val="num" w:pos="864"/>
        </w:tabs>
      </w:pPr>
      <w:r>
        <w:rPr>
          <w:rFonts w:eastAsia="Arial"/>
          <w:lang w:val="fr-CA"/>
        </w:rPr>
        <w:t>Dispositif d’activation : Dispositif qui, lorsqu’il est actionné, envoie un signal électrique à l’</w:t>
      </w:r>
      <w:proofErr w:type="spellStart"/>
      <w:r>
        <w:rPr>
          <w:rFonts w:eastAsia="Arial"/>
          <w:lang w:val="fr-CA"/>
        </w:rPr>
        <w:t>ouvre</w:t>
      </w:r>
      <w:proofErr w:type="spellEnd"/>
      <w:r>
        <w:rPr>
          <w:rFonts w:eastAsia="Arial"/>
          <w:lang w:val="fr-CA"/>
        </w:rPr>
        <w:t>-porte pour lancer le fonctionnement de la porte.</w:t>
      </w:r>
    </w:p>
    <w:p w:rsidR="00576424" w:rsidRPr="00433CFB" w:rsidRDefault="00CC1386" w:rsidP="00576424">
      <w:pPr>
        <w:pStyle w:val="PR1"/>
        <w:tabs>
          <w:tab w:val="num" w:pos="864"/>
        </w:tabs>
      </w:pPr>
      <w:r>
        <w:rPr>
          <w:rFonts w:eastAsia="Arial"/>
          <w:lang w:val="fr-CA"/>
        </w:rPr>
        <w:t>Dispositifs de sécurité surveillés : Un système testé qui fonctionne en conjonction avec la commande automatique de porte qui détecte la présence d’une personne ou d’un objet dans une zone où un contact pourrait se produire et fournit un signal pour arrêter le mouvement de la porte.</w:t>
      </w:r>
    </w:p>
    <w:p w:rsidR="00FA6DA6" w:rsidRPr="00AB4664" w:rsidRDefault="00CC1386" w:rsidP="00FA6DA6">
      <w:pPr>
        <w:pStyle w:val="PR1"/>
        <w:tabs>
          <w:tab w:val="num" w:pos="864"/>
        </w:tabs>
      </w:pPr>
      <w:r w:rsidRPr="005D6E2D">
        <w:rPr>
          <w:rFonts w:eastAsia="Arial"/>
          <w:lang w:val="en-US"/>
        </w:rPr>
        <w:t>AAADM : American Association of Automatic Door Manufacturers.</w:t>
      </w:r>
    </w:p>
    <w:p w:rsidR="00B20351" w:rsidRPr="00AB4664" w:rsidRDefault="00CC1386" w:rsidP="00B20351">
      <w:pPr>
        <w:pStyle w:val="PR1"/>
        <w:tabs>
          <w:tab w:val="num" w:pos="864"/>
        </w:tabs>
      </w:pPr>
      <w:r>
        <w:rPr>
          <w:rFonts w:eastAsia="Arial"/>
          <w:lang w:val="fr-CA"/>
        </w:rPr>
        <w:t>Plage de température ambiante de fonctionnement :  15 °C à 50 °C (5 °F à plus 122 °F).</w:t>
      </w:r>
    </w:p>
    <w:p w:rsidR="00FA6DA6" w:rsidRPr="00AB4664" w:rsidRDefault="00CC1386" w:rsidP="00FA6DA6">
      <w:pPr>
        <w:pStyle w:val="PR1"/>
        <w:tabs>
          <w:tab w:val="num" w:pos="864"/>
        </w:tabs>
      </w:pPr>
      <w:r>
        <w:rPr>
          <w:rFonts w:eastAsia="Arial"/>
          <w:lang w:val="fr-CA"/>
        </w:rPr>
        <w:t>Pour la terminologie de porte automatique, consultez ANSI/A156.19 pour les définitions des termes.</w:t>
      </w:r>
    </w:p>
    <w:p w:rsidR="00FA6DA6" w:rsidRPr="00AB4664" w:rsidRDefault="00CC1386" w:rsidP="00FA6DA6">
      <w:pPr>
        <w:pStyle w:val="ART"/>
        <w:tabs>
          <w:tab w:val="num" w:pos="864"/>
        </w:tabs>
        <w:spacing w:before="480"/>
      </w:pPr>
      <w:r>
        <w:rPr>
          <w:rFonts w:eastAsia="Arial"/>
          <w:lang w:val="fr-CA"/>
        </w:rPr>
        <w:t>EXIGENCES DE RENDEMENT</w:t>
      </w:r>
    </w:p>
    <w:p w:rsidR="00FA6DA6" w:rsidRPr="00AB4664" w:rsidRDefault="00CC1386" w:rsidP="00254D78">
      <w:pPr>
        <w:pStyle w:val="PR1"/>
        <w:tabs>
          <w:tab w:val="num" w:pos="864"/>
        </w:tabs>
        <w:jc w:val="left"/>
      </w:pPr>
      <w:r>
        <w:rPr>
          <w:rFonts w:eastAsia="Arial"/>
          <w:lang w:val="fr-CA"/>
        </w:rPr>
        <w:t>Généralités : Fournir des portes automatiques qui ont été conçues et fabriquées pour se conformer aux exigences de performance spécifiées, comme le démontrent les tests des systèmes correspondants des fabricants.</w:t>
      </w:r>
    </w:p>
    <w:p w:rsidR="00FA6DA6" w:rsidRPr="00AB4664" w:rsidRDefault="00CC1386" w:rsidP="00FA6DA6">
      <w:pPr>
        <w:pStyle w:val="PR1"/>
        <w:tabs>
          <w:tab w:val="num" w:pos="864"/>
        </w:tabs>
      </w:pPr>
      <w:r>
        <w:rPr>
          <w:rFonts w:eastAsia="Arial"/>
          <w:lang w:val="fr-CA"/>
        </w:rPr>
        <w:t>Conformité :</w:t>
      </w:r>
    </w:p>
    <w:p w:rsidR="00FA6DA6" w:rsidRPr="00AB4664" w:rsidRDefault="00CC1386" w:rsidP="00FA6DA6">
      <w:pPr>
        <w:pStyle w:val="PR2"/>
        <w:tabs>
          <w:tab w:val="num" w:pos="1440"/>
        </w:tabs>
        <w:rPr>
          <w:rFonts w:cs="Arial"/>
        </w:rPr>
      </w:pPr>
      <w:r>
        <w:rPr>
          <w:rFonts w:eastAsia="Arial" w:cs="Arial"/>
          <w:lang w:val="fr-CA"/>
        </w:rPr>
        <w:t>Code international du bâtiment ICC/IBC</w:t>
      </w:r>
    </w:p>
    <w:p w:rsidR="00FA6DA6" w:rsidRPr="00AB4664" w:rsidRDefault="00CC1386" w:rsidP="00FA6DA6">
      <w:pPr>
        <w:pStyle w:val="PR2"/>
        <w:tabs>
          <w:tab w:val="num" w:pos="1440"/>
        </w:tabs>
        <w:rPr>
          <w:rFonts w:cs="Arial"/>
        </w:rPr>
      </w:pPr>
      <w:r>
        <w:rPr>
          <w:rFonts w:eastAsia="Arial" w:cs="Arial"/>
          <w:lang w:val="fr-CA"/>
        </w:rPr>
        <w:t>ANSI/BHMA A156.19 Standard national américain pour les portes piétonnières à fonctionnement électrique.</w:t>
      </w:r>
    </w:p>
    <w:p w:rsidR="00FA6DA6" w:rsidRPr="00AB4664" w:rsidRDefault="00CC1386" w:rsidP="00FA6DA6">
      <w:pPr>
        <w:pStyle w:val="PR2"/>
        <w:tabs>
          <w:tab w:val="num" w:pos="1440"/>
        </w:tabs>
        <w:rPr>
          <w:rFonts w:cs="Arial"/>
        </w:rPr>
      </w:pPr>
      <w:r>
        <w:rPr>
          <w:rFonts w:eastAsia="Arial" w:cs="Arial"/>
          <w:lang w:val="fr-CA"/>
        </w:rPr>
        <w:lastRenderedPageBreak/>
        <w:t>Homologué UL 325</w:t>
      </w:r>
    </w:p>
    <w:p w:rsidR="00FA6DA6" w:rsidRPr="00AB4664" w:rsidRDefault="00CC1386" w:rsidP="00FA6DA6">
      <w:pPr>
        <w:pStyle w:val="PR2"/>
        <w:tabs>
          <w:tab w:val="num" w:pos="1440"/>
        </w:tabs>
        <w:rPr>
          <w:rFonts w:cs="Arial"/>
        </w:rPr>
      </w:pPr>
      <w:r>
        <w:rPr>
          <w:rFonts w:eastAsia="Arial" w:cs="Arial"/>
          <w:lang w:val="fr-CA"/>
        </w:rPr>
        <w:t>NFPA 70 Code national de l’électricité.</w:t>
      </w:r>
    </w:p>
    <w:p w:rsidR="00FA6DA6" w:rsidRPr="00AB4664" w:rsidRDefault="00CC1386" w:rsidP="00FA6DA6">
      <w:pPr>
        <w:pStyle w:val="PR2"/>
        <w:tabs>
          <w:tab w:val="num" w:pos="1440"/>
        </w:tabs>
        <w:rPr>
          <w:rFonts w:cs="Arial"/>
        </w:rPr>
      </w:pPr>
      <w:r>
        <w:rPr>
          <w:rFonts w:eastAsia="Arial" w:cs="Arial"/>
          <w:lang w:val="fr-CA"/>
        </w:rPr>
        <w:t>NFPA 101 Code de sécurité des personnes</w:t>
      </w:r>
    </w:p>
    <w:p w:rsidR="00FA6DA6" w:rsidRPr="00AB4664" w:rsidRDefault="00CC1386" w:rsidP="00FA6DA6">
      <w:pPr>
        <w:pStyle w:val="PR2"/>
        <w:tabs>
          <w:tab w:val="num" w:pos="1440"/>
        </w:tabs>
        <w:rPr>
          <w:rFonts w:cs="Arial"/>
        </w:rPr>
      </w:pPr>
      <w:r>
        <w:rPr>
          <w:rFonts w:eastAsia="Arial" w:cs="Arial"/>
          <w:lang w:val="fr-CA"/>
        </w:rPr>
        <w:t>Approuvé CUL pour une utilisation au Canada</w:t>
      </w:r>
    </w:p>
    <w:p w:rsidR="00397B66" w:rsidRPr="00AB4664" w:rsidRDefault="00CC1386" w:rsidP="00FA6DA6">
      <w:pPr>
        <w:pStyle w:val="PR2"/>
        <w:tabs>
          <w:tab w:val="num" w:pos="1440"/>
        </w:tabs>
        <w:rPr>
          <w:rFonts w:cs="Arial"/>
        </w:rPr>
      </w:pPr>
      <w:r>
        <w:rPr>
          <w:rFonts w:eastAsia="Arial" w:cs="Arial"/>
          <w:lang w:val="fr-CA"/>
        </w:rPr>
        <w:t>Actionneur de porte coupe-feu homologué UL avec ferme-porte automatique</w:t>
      </w:r>
    </w:p>
    <w:p w:rsidR="00FA6DA6" w:rsidRPr="00AB4664" w:rsidRDefault="00CC1386" w:rsidP="00FA6DA6">
      <w:pPr>
        <w:pStyle w:val="PR1"/>
        <w:tabs>
          <w:tab w:val="num" w:pos="864"/>
        </w:tabs>
      </w:pPr>
      <w:r>
        <w:rPr>
          <w:rFonts w:eastAsia="Arial"/>
          <w:lang w:val="fr-CA"/>
        </w:rPr>
        <w:t>L’équipement de porte automatique s’adapte à la circulation piétonnière moyenne à forte.</w:t>
      </w:r>
    </w:p>
    <w:p w:rsidR="00FA6DA6" w:rsidRPr="00AB4664" w:rsidRDefault="00CC1386" w:rsidP="00FA6DA6">
      <w:pPr>
        <w:pStyle w:val="PR1"/>
        <w:tabs>
          <w:tab w:val="num" w:pos="864"/>
        </w:tabs>
      </w:pPr>
      <w:r>
        <w:rPr>
          <w:rFonts w:eastAsia="Arial"/>
          <w:lang w:val="fr-CA"/>
        </w:rPr>
        <w:t>Exigences relatives à la force d’ouverture :</w:t>
      </w:r>
    </w:p>
    <w:p w:rsidR="00FA6DA6" w:rsidRPr="00AB4664" w:rsidRDefault="00CC1386" w:rsidP="00254D78">
      <w:pPr>
        <w:pStyle w:val="PR2"/>
        <w:tabs>
          <w:tab w:val="num" w:pos="1440"/>
        </w:tabs>
        <w:jc w:val="left"/>
      </w:pPr>
      <w:r>
        <w:rPr>
          <w:rFonts w:eastAsia="Arial"/>
          <w:lang w:val="fr-CA"/>
        </w:rPr>
        <w:t xml:space="preserve">Les portes battantes à commande électrique doivent s’ouvrir avec une force manuelle ne dépassant pas 30 </w:t>
      </w:r>
      <w:proofErr w:type="spellStart"/>
      <w:r>
        <w:rPr>
          <w:rFonts w:eastAsia="Arial"/>
          <w:lang w:val="fr-CA"/>
        </w:rPr>
        <w:t>lbf</w:t>
      </w:r>
      <w:proofErr w:type="spellEnd"/>
      <w:r>
        <w:rPr>
          <w:rFonts w:eastAsia="Arial"/>
          <w:lang w:val="fr-CA"/>
        </w:rPr>
        <w:t xml:space="preserve"> (133N) pour mettre la porte en mouvement et 15 </w:t>
      </w:r>
      <w:proofErr w:type="spellStart"/>
      <w:r>
        <w:rPr>
          <w:rFonts w:eastAsia="Arial"/>
          <w:lang w:val="fr-CA"/>
        </w:rPr>
        <w:t>lbf</w:t>
      </w:r>
      <w:proofErr w:type="spellEnd"/>
      <w:r>
        <w:rPr>
          <w:rFonts w:eastAsia="Arial"/>
          <w:lang w:val="fr-CA"/>
        </w:rPr>
        <w:t xml:space="preserve"> pour ouvrir complètement la porte avec une force appliquée à 1 po (25 mm) du bord verrouillé de la porte. La force requise pour empêcher une porte arrêtée d’ouvrir ou de fermer doit dépasser 15 </w:t>
      </w:r>
      <w:proofErr w:type="spellStart"/>
      <w:r>
        <w:rPr>
          <w:rFonts w:eastAsia="Arial"/>
          <w:lang w:val="fr-CA"/>
        </w:rPr>
        <w:t>lbf</w:t>
      </w:r>
      <w:proofErr w:type="spellEnd"/>
      <w:r>
        <w:rPr>
          <w:rFonts w:eastAsia="Arial"/>
          <w:lang w:val="fr-CA"/>
        </w:rPr>
        <w:t xml:space="preserve"> (67N) mesurée à 1 po (25 mm) du bord du loquet de la porte à tout moment pendant l’ouverture ou la fermeture.</w:t>
      </w:r>
    </w:p>
    <w:p w:rsidR="006511D4" w:rsidRPr="00AB4664" w:rsidRDefault="00CC1386" w:rsidP="006511D4">
      <w:pPr>
        <w:pStyle w:val="PR1"/>
      </w:pPr>
      <w:r>
        <w:rPr>
          <w:rFonts w:eastAsia="Arial"/>
          <w:lang w:val="fr-CA"/>
        </w:rPr>
        <w:t>Heure de fermeture :</w:t>
      </w:r>
    </w:p>
    <w:p w:rsidR="006511D4" w:rsidRPr="00AB4664" w:rsidRDefault="00CC1386" w:rsidP="006511D4">
      <w:pPr>
        <w:pStyle w:val="PR2"/>
      </w:pPr>
      <w:r>
        <w:rPr>
          <w:rFonts w:eastAsia="Arial"/>
          <w:lang w:val="fr-CA"/>
        </w:rPr>
        <w:t>Les actionneurs de porte doivent être réglables sur place pour fermer de 90 degrés à 10 degrés en 3 secondes ou plus selon le standard ANSI/BHMA A 156.19.</w:t>
      </w:r>
    </w:p>
    <w:p w:rsidR="006511D4" w:rsidRPr="00AB4664" w:rsidRDefault="00CC1386" w:rsidP="006511D4">
      <w:pPr>
        <w:pStyle w:val="PR2"/>
      </w:pPr>
      <w:r>
        <w:rPr>
          <w:rFonts w:eastAsia="Arial"/>
          <w:lang w:val="fr-CA"/>
        </w:rPr>
        <w:t xml:space="preserve">La porte doit être ajustée sur place pour se fermer de 10 degrés à la position complètement fermée en au moins 1,5 seconde. </w:t>
      </w:r>
    </w:p>
    <w:p w:rsidR="00FA6DA6" w:rsidRPr="00AB4664" w:rsidRDefault="00CC1386" w:rsidP="00FA6DA6">
      <w:pPr>
        <w:pStyle w:val="ART"/>
        <w:tabs>
          <w:tab w:val="num" w:pos="864"/>
        </w:tabs>
        <w:spacing w:before="480"/>
      </w:pPr>
      <w:r>
        <w:rPr>
          <w:rFonts w:eastAsia="Arial"/>
          <w:lang w:val="fr-CA"/>
        </w:rPr>
        <w:t>SOUMISSIONS</w:t>
      </w:r>
    </w:p>
    <w:p w:rsidR="00FA6DA6" w:rsidRPr="00AB4664" w:rsidRDefault="00CC1386" w:rsidP="00FA6DA6">
      <w:pPr>
        <w:pStyle w:val="PR1"/>
        <w:tabs>
          <w:tab w:val="num" w:pos="864"/>
        </w:tabs>
      </w:pPr>
      <w:r>
        <w:rPr>
          <w:rFonts w:eastAsia="Arial"/>
          <w:lang w:val="fr-CA"/>
        </w:rPr>
        <w:t>Se conformer à la Division 01 – Procédures de soumission.</w:t>
      </w:r>
    </w:p>
    <w:p w:rsidR="00FA6DA6" w:rsidRPr="00AB4664" w:rsidRDefault="00CC1386" w:rsidP="00FA6DA6">
      <w:pPr>
        <w:pStyle w:val="PR1"/>
        <w:tabs>
          <w:tab w:val="num" w:pos="864"/>
        </w:tabs>
      </w:pPr>
      <w:r>
        <w:rPr>
          <w:rFonts w:eastAsia="Arial"/>
          <w:lang w:val="fr-CA"/>
        </w:rPr>
        <w:t xml:space="preserve">Données du produit : Les fiches techniques du fabricant, y compris les détails de l’installation, les descriptions des matériaux, les dimensions des composants individuels et la fabrication des profils, les descriptions opérationnelles et les finis. </w:t>
      </w:r>
    </w:p>
    <w:p w:rsidR="00FA6DA6" w:rsidRPr="00AB4664" w:rsidRDefault="00CC1386" w:rsidP="00FA6DA6">
      <w:pPr>
        <w:pStyle w:val="PR1"/>
        <w:tabs>
          <w:tab w:val="num" w:pos="864"/>
        </w:tabs>
      </w:pPr>
      <w:r>
        <w:rPr>
          <w:rFonts w:eastAsia="Arial"/>
          <w:lang w:val="fr-CA"/>
        </w:rPr>
        <w:t>Dessins d’atelier : Pour les entrées automatiques.  Inclure les plans, les élévations, les sections, les détails, les hauteurs de montage du matériel, les accessoires supplémentaires et les accessoires pour d’autres travaux.</w:t>
      </w:r>
    </w:p>
    <w:p w:rsidR="00FA6DA6" w:rsidRPr="00AB4664" w:rsidRDefault="00CC1386" w:rsidP="00FA6DA6">
      <w:pPr>
        <w:pStyle w:val="PR1"/>
        <w:tabs>
          <w:tab w:val="num" w:pos="864"/>
        </w:tabs>
      </w:pPr>
      <w:r>
        <w:rPr>
          <w:rFonts w:eastAsia="Arial"/>
          <w:lang w:val="fr-CA"/>
        </w:rPr>
        <w:t>Échantillons : échantillons de couleur de fini exposée au besoin.</w:t>
      </w:r>
    </w:p>
    <w:p w:rsidR="00FA6DA6" w:rsidRPr="00AB4664" w:rsidRDefault="00CC1386" w:rsidP="00FA6DA6">
      <w:pPr>
        <w:pStyle w:val="PR1"/>
        <w:tabs>
          <w:tab w:val="num" w:pos="864"/>
        </w:tabs>
      </w:pPr>
      <w:r>
        <w:rPr>
          <w:rFonts w:eastAsia="Arial"/>
          <w:lang w:val="fr-CA"/>
        </w:rPr>
        <w:t>Soumissions d’information : Renseignements sur les produits des fabricants et crédits applicables au programme de durabilité qui sont disponibles pour une certification de produit LEED.</w:t>
      </w:r>
    </w:p>
    <w:p w:rsidR="00FA6DA6" w:rsidRPr="00AB4664" w:rsidRDefault="00CC1386" w:rsidP="00FA6DA6">
      <w:pPr>
        <w:pStyle w:val="PR2"/>
        <w:tabs>
          <w:tab w:val="num" w:pos="1440"/>
        </w:tabs>
      </w:pPr>
      <w:r>
        <w:rPr>
          <w:rFonts w:eastAsia="Arial"/>
          <w:lang w:val="fr-CA"/>
        </w:rPr>
        <w:t xml:space="preserve">Crédit MR 4.1 et 4.2 : Certificat du fabricant ou du fabricant indiquant le pourcentage de contenu recyclé post-consommation en poids et de contenu recyclé pré-consommation en poids pour chaque produit spécifié dans cette section.   </w:t>
      </w:r>
    </w:p>
    <w:p w:rsidR="00FA6DA6" w:rsidRPr="00AB4664" w:rsidRDefault="00CC1386" w:rsidP="00FA6DA6">
      <w:pPr>
        <w:pStyle w:val="PR1"/>
        <w:tabs>
          <w:tab w:val="num" w:pos="864"/>
        </w:tabs>
      </w:pPr>
      <w:r>
        <w:rPr>
          <w:rFonts w:eastAsia="Arial"/>
          <w:lang w:val="fr-CA"/>
        </w:rPr>
        <w:t xml:space="preserve">Rapports sur le terrain des fabricants : Soumettre les rapports de terrain du fabricant provenant d’un technicien certifié AAADM pour l’inspection et l’approbation des portes pour la conformité au standard ANSI/BHMA A 156.19 après la fin de l’installation. </w:t>
      </w:r>
    </w:p>
    <w:p w:rsidR="00FA6DA6" w:rsidRPr="00AB4664" w:rsidRDefault="00CC1386" w:rsidP="00FA6DA6">
      <w:pPr>
        <w:pStyle w:val="PR1"/>
        <w:tabs>
          <w:tab w:val="num" w:pos="864"/>
        </w:tabs>
      </w:pPr>
      <w:r>
        <w:rPr>
          <w:rFonts w:eastAsia="Arial"/>
          <w:lang w:val="fr-CA"/>
        </w:rPr>
        <w:t xml:space="preserve">Manuels d’utilisation et d’entretien : Fournir aux fabricants des manuels d’exploitation, de propriétaires et d’entretien pour chaque article spécifié comme requis dans la Division 01, Clôture des soumissions. </w:t>
      </w:r>
    </w:p>
    <w:p w:rsidR="00FA6DA6" w:rsidRPr="00AB4664" w:rsidRDefault="00CC1386" w:rsidP="00FA6DA6">
      <w:pPr>
        <w:pStyle w:val="ART"/>
        <w:tabs>
          <w:tab w:val="num" w:pos="864"/>
        </w:tabs>
        <w:spacing w:before="480"/>
      </w:pPr>
      <w:r>
        <w:rPr>
          <w:rFonts w:eastAsia="Arial"/>
          <w:lang w:val="fr-CA"/>
        </w:rPr>
        <w:lastRenderedPageBreak/>
        <w:t>ASSURANCE DE LA QUALITÉ</w:t>
      </w:r>
    </w:p>
    <w:p w:rsidR="00FA6DA6" w:rsidRPr="00AB4664" w:rsidRDefault="00CC1386" w:rsidP="00FA6DA6">
      <w:pPr>
        <w:pStyle w:val="PR1"/>
        <w:tabs>
          <w:tab w:val="num" w:pos="864"/>
        </w:tabs>
      </w:pPr>
      <w:r>
        <w:rPr>
          <w:rFonts w:eastAsia="Arial"/>
          <w:lang w:val="fr-CA"/>
        </w:rPr>
        <w:t>Qualifications du fabricant : Au moins 10 ans d’expérience documentée dans la fabrication d’équipement de porte semblable à celle indiquée dans la présente spécification avec une expérience éprouvée en matière de performance de service. Un fabricant avec un certificat d’entreprise délivré par l’AAADM.</w:t>
      </w:r>
    </w:p>
    <w:p w:rsidR="00FA6DA6" w:rsidRPr="00AB4664" w:rsidRDefault="00CC1386" w:rsidP="00FA6DA6">
      <w:pPr>
        <w:pStyle w:val="PR1"/>
        <w:tabs>
          <w:tab w:val="num" w:pos="864"/>
        </w:tabs>
      </w:pPr>
      <w:r>
        <w:rPr>
          <w:rFonts w:eastAsia="Arial"/>
          <w:lang w:val="fr-CA"/>
        </w:rPr>
        <w:t xml:space="preserve">Qualifications de l’installateur : Les installateurs, formés par les principaux fabricants de produits, ayant au moins cinq ans d’expérience documentée dans l’installation et l’entretien d’unités similaires en matière de matériaux, de design et d’étendue à celles indiquées dans cette spécification et dont le travail a abouti à une construction avec un dossier de performance en service réussie. Représentant autorisé du fabricant qui est formé et approuvé pour l’installation et l’entretien des unités par l’AAAADM requis pour ce projet </w:t>
      </w:r>
    </w:p>
    <w:p w:rsidR="00FA6DA6" w:rsidRPr="00AB4664" w:rsidRDefault="00CC1386" w:rsidP="00FA6DA6">
      <w:pPr>
        <w:pStyle w:val="PR1"/>
        <w:tabs>
          <w:tab w:val="num" w:pos="864"/>
        </w:tabs>
      </w:pPr>
      <w:r>
        <w:rPr>
          <w:rFonts w:eastAsia="Arial"/>
          <w:lang w:val="fr-CA"/>
        </w:rPr>
        <w:t>Limites de source pour les actionneurs automatiques : Se procurer chaque type d’actionneur de porte automatique et de composants de racleur spécifiés dans cette section auprès d’une source unique auprès d’un seul fabricant.</w:t>
      </w:r>
    </w:p>
    <w:p w:rsidR="00FA6DA6" w:rsidRPr="00AB4664" w:rsidRDefault="00CC1386" w:rsidP="00FA6DA6">
      <w:pPr>
        <w:pStyle w:val="PR1"/>
        <w:tabs>
          <w:tab w:val="num" w:pos="864"/>
        </w:tabs>
      </w:pPr>
      <w:r>
        <w:rPr>
          <w:rFonts w:eastAsia="Arial"/>
          <w:lang w:val="fr-CA"/>
        </w:rPr>
        <w:t>Composants, dispositifs et accessoires électriques : Énuméré et étiqueté comme défini dans la norme NFPA 70, par une agence d’essai qualifiée, et marqué pour l’emplacement et l’application prévus.</w:t>
      </w:r>
    </w:p>
    <w:p w:rsidR="00FA6DA6" w:rsidRPr="00AB4664" w:rsidRDefault="00CC1386" w:rsidP="00FA6DA6">
      <w:pPr>
        <w:pStyle w:val="PR1"/>
        <w:tabs>
          <w:tab w:val="num" w:pos="864"/>
        </w:tabs>
      </w:pPr>
      <w:r>
        <w:rPr>
          <w:rFonts w:eastAsia="Arial"/>
          <w:lang w:val="fr-CA"/>
        </w:rPr>
        <w:t>Porte à commande électrique standard : ANSI/BHMA A 156.19 Année en cours.</w:t>
      </w:r>
    </w:p>
    <w:p w:rsidR="00FA6DA6" w:rsidRPr="00AB4664" w:rsidRDefault="00CC1386" w:rsidP="00FA6DA6">
      <w:pPr>
        <w:pStyle w:val="PR1"/>
        <w:tabs>
          <w:tab w:val="num" w:pos="864"/>
        </w:tabs>
      </w:pPr>
      <w:r>
        <w:rPr>
          <w:rFonts w:eastAsia="Arial"/>
          <w:lang w:val="fr-CA"/>
        </w:rPr>
        <w:t>Exigences relatives à la porte de sortie d’urgence : Se conformer aux exigences des autorités compétentes pour les entrées automatiques servant d’issue de sortie requises.</w:t>
      </w:r>
    </w:p>
    <w:p w:rsidR="00FA6DA6" w:rsidRPr="00AB4664" w:rsidRDefault="00CC1386" w:rsidP="00FA6DA6">
      <w:pPr>
        <w:pStyle w:val="ART"/>
        <w:tabs>
          <w:tab w:val="num" w:pos="864"/>
        </w:tabs>
        <w:spacing w:before="480"/>
      </w:pPr>
      <w:r>
        <w:rPr>
          <w:rFonts w:eastAsia="Arial"/>
          <w:lang w:val="fr-CA"/>
        </w:rPr>
        <w:t>CONDITIONS DU PROJET</w:t>
      </w:r>
    </w:p>
    <w:p w:rsidR="00FA6DA6" w:rsidRPr="00AB4664" w:rsidRDefault="00CC1386" w:rsidP="00FA6DA6">
      <w:pPr>
        <w:pStyle w:val="PR1"/>
        <w:tabs>
          <w:tab w:val="num" w:pos="864"/>
        </w:tabs>
      </w:pPr>
      <w:r>
        <w:rPr>
          <w:rFonts w:eastAsia="Arial"/>
          <w:lang w:val="fr-CA"/>
        </w:rPr>
        <w:t>Mesures sur le terrain : Vérifier les dimensions réelles des ouvertures pour recevoir des entrées automatiques par mesures sur le terrain avant la fabrication.</w:t>
      </w:r>
    </w:p>
    <w:p w:rsidR="00FA6DA6" w:rsidRPr="00AB4664" w:rsidRDefault="00CC1386" w:rsidP="00FA6DA6">
      <w:pPr>
        <w:pStyle w:val="ART"/>
        <w:tabs>
          <w:tab w:val="num" w:pos="864"/>
        </w:tabs>
        <w:spacing w:before="480"/>
      </w:pPr>
      <w:r>
        <w:rPr>
          <w:rFonts w:eastAsia="Arial"/>
          <w:lang w:val="fr-CA"/>
        </w:rPr>
        <w:t>HARMONISATION</w:t>
      </w:r>
    </w:p>
    <w:p w:rsidR="00FA6DA6" w:rsidRPr="00AB4664" w:rsidRDefault="00CC1386" w:rsidP="00FA6DA6">
      <w:pPr>
        <w:pStyle w:val="PR1"/>
        <w:tabs>
          <w:tab w:val="num" w:pos="864"/>
        </w:tabs>
      </w:pPr>
      <w:r>
        <w:rPr>
          <w:rFonts w:eastAsia="Arial"/>
          <w:lang w:val="fr-CA"/>
        </w:rPr>
        <w:t>Coordonner les actionneurs de porte avec les portes, les cadres et les travaux connexes pour assurer une taille, une épaisseur, une main, une fonction et un fini appropriées. Coordonner le matériel pour les entrées automatiques avec le matériel requis pour le reste du projet.</w:t>
      </w:r>
    </w:p>
    <w:p w:rsidR="00FA6DA6" w:rsidRPr="00AB4664" w:rsidRDefault="00CC1386" w:rsidP="00FA6DA6">
      <w:pPr>
        <w:pStyle w:val="PR1"/>
        <w:tabs>
          <w:tab w:val="num" w:pos="864"/>
        </w:tabs>
      </w:pPr>
      <w:r>
        <w:rPr>
          <w:rFonts w:eastAsia="Arial"/>
          <w:lang w:val="fr-CA"/>
        </w:rPr>
        <w:t>Installation préliminaire du système électrique : Coordonner la disposition et l’installation de l’actionneur de porte à alimentation automatique avec les connexions aux blocs d’alimentation et au système de commande d’accès.</w:t>
      </w:r>
    </w:p>
    <w:p w:rsidR="00FA6DA6" w:rsidRPr="00AB4664" w:rsidRDefault="00CC1386" w:rsidP="00FA6DA6">
      <w:pPr>
        <w:pStyle w:val="ART"/>
        <w:tabs>
          <w:tab w:val="num" w:pos="864"/>
        </w:tabs>
        <w:spacing w:before="480"/>
      </w:pPr>
      <w:r>
        <w:rPr>
          <w:rFonts w:eastAsia="Arial"/>
          <w:lang w:val="fr-CA"/>
        </w:rPr>
        <w:t>GARANTIE</w:t>
      </w:r>
    </w:p>
    <w:p w:rsidR="00E550E8" w:rsidRPr="00AB4664" w:rsidRDefault="00CC1386" w:rsidP="00E550E8">
      <w:pPr>
        <w:pStyle w:val="PR1"/>
        <w:tabs>
          <w:tab w:val="num" w:pos="864"/>
        </w:tabs>
      </w:pPr>
      <w:bookmarkStart w:id="3" w:name="_Hlk496685235"/>
      <w:r>
        <w:rPr>
          <w:rFonts w:eastAsia="Arial"/>
          <w:lang w:val="fr-CA"/>
        </w:rPr>
        <w:t xml:space="preserve">Les actionneurs de porte automatiques doivent être exempts de défauts de matériaux et de fabrication pendant une période de deux (2) ans à compter de la date d’achèvement substantiel. </w:t>
      </w:r>
    </w:p>
    <w:p w:rsidR="00E550E8" w:rsidRPr="003329BA" w:rsidRDefault="00CC1386" w:rsidP="00E550E8">
      <w:pPr>
        <w:pStyle w:val="PR1"/>
        <w:tabs>
          <w:tab w:val="num" w:pos="864"/>
        </w:tabs>
        <w:rPr>
          <w:b/>
        </w:rPr>
      </w:pPr>
      <w:r>
        <w:rPr>
          <w:rFonts w:eastAsia="Arial"/>
          <w:b/>
          <w:bCs/>
          <w:lang w:val="fr-CA"/>
        </w:rPr>
        <w:lastRenderedPageBreak/>
        <w:t xml:space="preserve">[Les capteurs de sécurité doivent être exempts de défauts de matériaux et de fabrication pendant une période d’un (1) an à compter de la date d’achèvement substantiel.] </w:t>
      </w:r>
    </w:p>
    <w:bookmarkEnd w:id="3"/>
    <w:p w:rsidR="00FA6DA6" w:rsidRDefault="00CC1386" w:rsidP="00FA6DA6">
      <w:pPr>
        <w:pStyle w:val="PR1"/>
        <w:tabs>
          <w:tab w:val="num" w:pos="864"/>
        </w:tabs>
      </w:pPr>
      <w:r>
        <w:rPr>
          <w:rFonts w:eastAsia="Arial"/>
          <w:lang w:val="fr-CA"/>
        </w:rPr>
        <w:t>Pendant la période de garantie, un technicien formé en usine doit effectuer l’entretien et effectuer les réparations. Une inspection de sécurité doit être effectuée après chaque ajustement ou réparation et un formulaire d’inspection rempli doit être soumis au propriétaire.</w:t>
      </w:r>
    </w:p>
    <w:p w:rsidR="00321BBD" w:rsidRPr="00424BF3" w:rsidRDefault="00CC1386" w:rsidP="00321BBD">
      <w:pPr>
        <w:pStyle w:val="PR1"/>
      </w:pPr>
      <w:r>
        <w:rPr>
          <w:rFonts w:eastAsia="Arial"/>
          <w:lang w:val="fr-CA"/>
        </w:rPr>
        <w:t>Pendant la période de garantie, tous les travaux sous garantie doivent être effectués pendant les heures normales de travail.</w:t>
      </w:r>
    </w:p>
    <w:p w:rsidR="00856D02" w:rsidRPr="00AB4664" w:rsidRDefault="00CC1386" w:rsidP="002B764B">
      <w:pPr>
        <w:pStyle w:val="PR1"/>
        <w:numPr>
          <w:ilvl w:val="0"/>
          <w:numId w:val="31"/>
        </w:numPr>
        <w:spacing w:before="480"/>
      </w:pPr>
      <w:r w:rsidRPr="002B764B">
        <w:rPr>
          <w:rFonts w:eastAsia="Arial"/>
          <w:lang w:val="fr-CA"/>
        </w:rPr>
        <w:t>PRODUITS</w:t>
      </w:r>
    </w:p>
    <w:p w:rsidR="00856D02" w:rsidRPr="00AB4664" w:rsidRDefault="00CC1386" w:rsidP="002B764B">
      <w:pPr>
        <w:pStyle w:val="ART"/>
        <w:numPr>
          <w:ilvl w:val="3"/>
          <w:numId w:val="31"/>
        </w:numPr>
        <w:spacing w:before="480"/>
      </w:pPr>
      <w:r>
        <w:rPr>
          <w:rFonts w:eastAsia="Arial"/>
          <w:lang w:val="fr-CA"/>
        </w:rPr>
        <w:t>FABRICANT</w:t>
      </w:r>
    </w:p>
    <w:p w:rsidR="00856D02" w:rsidRPr="00AB4664" w:rsidRDefault="00CC1386" w:rsidP="002B764B">
      <w:pPr>
        <w:pStyle w:val="PR1"/>
        <w:numPr>
          <w:ilvl w:val="4"/>
          <w:numId w:val="31"/>
        </w:numPr>
        <w:jc w:val="left"/>
      </w:pPr>
      <w:proofErr w:type="spellStart"/>
      <w:r w:rsidRPr="005D6E2D">
        <w:rPr>
          <w:rFonts w:eastAsia="Arial"/>
          <w:lang w:val="en-US"/>
        </w:rPr>
        <w:t>dormakaba</w:t>
      </w:r>
      <w:proofErr w:type="spellEnd"/>
      <w:r w:rsidRPr="005D6E2D">
        <w:rPr>
          <w:rFonts w:eastAsia="Arial"/>
          <w:lang w:val="en-US"/>
        </w:rPr>
        <w:t xml:space="preserve"> • </w:t>
      </w:r>
      <w:proofErr w:type="spellStart"/>
      <w:r w:rsidRPr="005D6E2D">
        <w:rPr>
          <w:rFonts w:eastAsia="Arial"/>
          <w:lang w:val="en-US"/>
        </w:rPr>
        <w:t>Reamstown</w:t>
      </w:r>
      <w:proofErr w:type="spellEnd"/>
      <w:r w:rsidRPr="005D6E2D">
        <w:rPr>
          <w:rFonts w:eastAsia="Arial"/>
          <w:lang w:val="en-US"/>
        </w:rPr>
        <w:t xml:space="preserve">, PA • 1 844 SPEC-NOW (1 844 773-2669) • Site Web : </w:t>
      </w:r>
      <w:hyperlink r:id="rId12" w:history="1">
        <w:r w:rsidRPr="005D6E2D">
          <w:rPr>
            <w:rFonts w:eastAsia="Arial"/>
            <w:color w:val="0000FF"/>
            <w:u w:val="single"/>
            <w:lang w:val="en-US"/>
          </w:rPr>
          <w:t>www.dormakaba</w:t>
        </w:r>
      </w:hyperlink>
      <w:r w:rsidRPr="005D6E2D">
        <w:rPr>
          <w:rFonts w:eastAsia="Arial"/>
          <w:color w:val="0000FF"/>
          <w:u w:val="single"/>
          <w:lang w:val="en-US"/>
        </w:rPr>
        <w:t>.us</w:t>
      </w:r>
      <w:r w:rsidRPr="005D6E2D">
        <w:rPr>
          <w:rFonts w:eastAsia="Arial"/>
          <w:lang w:val="en-US"/>
        </w:rPr>
        <w:t xml:space="preserve"> • </w:t>
      </w:r>
      <w:proofErr w:type="spellStart"/>
      <w:r w:rsidRPr="005D6E2D">
        <w:rPr>
          <w:rFonts w:eastAsia="Arial"/>
          <w:lang w:val="en-US"/>
        </w:rPr>
        <w:t>Courriel</w:t>
      </w:r>
      <w:proofErr w:type="spellEnd"/>
      <w:r w:rsidRPr="005D6E2D">
        <w:rPr>
          <w:rFonts w:eastAsia="Arial"/>
          <w:lang w:val="en-US"/>
        </w:rPr>
        <w:t xml:space="preserve"> : </w:t>
      </w:r>
      <w:hyperlink r:id="rId13" w:history="1">
        <w:r w:rsidRPr="005D6E2D">
          <w:rPr>
            <w:rFonts w:eastAsia="Arial"/>
            <w:color w:val="0000FF"/>
            <w:u w:val="single"/>
            <w:lang w:val="en-US"/>
          </w:rPr>
          <w:t>specnow@dorma.com</w:t>
        </w:r>
      </w:hyperlink>
    </w:p>
    <w:p w:rsidR="00856D02" w:rsidRPr="005D6E2D" w:rsidRDefault="00CC1386" w:rsidP="00856D02">
      <w:pPr>
        <w:pStyle w:val="CMTGreen"/>
        <w:rPr>
          <w:lang w:val="fr-CA"/>
        </w:rPr>
      </w:pPr>
      <w:r>
        <w:rPr>
          <w:rFonts w:eastAsia="Arial"/>
          <w:szCs w:val="18"/>
          <w:lang w:val="fr-CA"/>
        </w:rPr>
        <w:t xml:space="preserve">Choisissez la clause de substitution applicable au projet, sélectionnez l’élément « B » ou « C ». </w:t>
      </w:r>
    </w:p>
    <w:p w:rsidR="00856D02" w:rsidRPr="00AB4664" w:rsidRDefault="00CC1386" w:rsidP="002B764B">
      <w:pPr>
        <w:pStyle w:val="PR1"/>
        <w:numPr>
          <w:ilvl w:val="4"/>
          <w:numId w:val="31"/>
        </w:numPr>
        <w:rPr>
          <w:b/>
        </w:rPr>
      </w:pPr>
      <w:r>
        <w:rPr>
          <w:rFonts w:eastAsia="Arial"/>
          <w:b/>
          <w:bCs/>
          <w:lang w:val="fr-CA"/>
        </w:rPr>
        <w:t>[Substitutions : Les demandes de substitution et d’approbation du produit conformément à la spécification doivent être soumises par écrit et conformément aux procédures décrites dans la section « Procédures de substitution » de la Division 1. L’approbation des demandes est à la discrétion de l’architecte, du propriétaire et de leurs consultants désignés.]</w:t>
      </w:r>
    </w:p>
    <w:p w:rsidR="00856D02" w:rsidRPr="00AB4664" w:rsidRDefault="00CC1386" w:rsidP="002B764B">
      <w:pPr>
        <w:pStyle w:val="PR1"/>
        <w:numPr>
          <w:ilvl w:val="4"/>
          <w:numId w:val="31"/>
        </w:numPr>
        <w:rPr>
          <w:b/>
        </w:rPr>
      </w:pPr>
      <w:r>
        <w:rPr>
          <w:rFonts w:eastAsia="Arial"/>
          <w:b/>
          <w:bCs/>
          <w:lang w:val="fr-CA"/>
        </w:rPr>
        <w:t>[Substitutions : Non autorisé.]</w:t>
      </w:r>
    </w:p>
    <w:p w:rsidR="00856D02" w:rsidRPr="00AB4664" w:rsidRDefault="00CC1386" w:rsidP="002B764B">
      <w:pPr>
        <w:pStyle w:val="ART"/>
        <w:numPr>
          <w:ilvl w:val="3"/>
          <w:numId w:val="31"/>
        </w:numPr>
        <w:spacing w:before="320"/>
      </w:pPr>
      <w:r>
        <w:rPr>
          <w:rFonts w:eastAsia="Arial"/>
          <w:lang w:val="fr-CA"/>
        </w:rPr>
        <w:t>ACTIONNEUR DE PORTE BATTANTE AUTOMATIQUE</w:t>
      </w:r>
    </w:p>
    <w:p w:rsidR="00856D02" w:rsidRPr="00AB4664" w:rsidRDefault="00CC1386" w:rsidP="002B764B">
      <w:pPr>
        <w:pStyle w:val="PR1"/>
        <w:numPr>
          <w:ilvl w:val="4"/>
          <w:numId w:val="31"/>
        </w:numPr>
      </w:pPr>
      <w:r>
        <w:rPr>
          <w:rFonts w:eastAsia="Arial"/>
          <w:lang w:val="fr-CA"/>
        </w:rPr>
        <w:t>Modèle : DORMA, série ED ED50</w:t>
      </w:r>
      <w:r>
        <w:rPr>
          <w:rFonts w:eastAsia="Arial"/>
          <w:b/>
          <w:bCs/>
          <w:lang w:val="fr-CA"/>
        </w:rPr>
        <w:t xml:space="preserve"> </w:t>
      </w:r>
      <w:r>
        <w:rPr>
          <w:rFonts w:eastAsia="Arial"/>
          <w:lang w:val="fr-CA"/>
        </w:rPr>
        <w:t>(Base du design) : Un actionneur de porte battante automatique à autoapprentissage intégré avec processeur avancé, une boîte de vitesses à plusieurs stades avec logiciel adaptatif en temps réel et interface utilisateur en option.</w:t>
      </w:r>
    </w:p>
    <w:p w:rsidR="00856D02" w:rsidRPr="00AB4664" w:rsidRDefault="00CC1386" w:rsidP="002B764B">
      <w:pPr>
        <w:pStyle w:val="PR2"/>
        <w:numPr>
          <w:ilvl w:val="5"/>
          <w:numId w:val="31"/>
        </w:numPr>
      </w:pPr>
      <w:r>
        <w:rPr>
          <w:rFonts w:eastAsia="Arial"/>
          <w:lang w:val="fr-CA"/>
        </w:rPr>
        <w:t>Configuration automatique de la porte :</w:t>
      </w:r>
    </w:p>
    <w:p w:rsidR="00856D02" w:rsidRPr="005D6E2D" w:rsidRDefault="00CC1386" w:rsidP="001A6A4B">
      <w:pPr>
        <w:pStyle w:val="PR4"/>
        <w:rPr>
          <w:b w:val="0"/>
          <w:lang w:val="fr-CA"/>
        </w:rPr>
      </w:pPr>
      <w:r>
        <w:rPr>
          <w:rFonts w:eastAsia="Arial"/>
          <w:b w:val="0"/>
          <w:lang w:val="fr-CA"/>
        </w:rPr>
        <w:t xml:space="preserve"> Configuration : Porte battante simple ou paire de portes battantes. </w:t>
      </w:r>
    </w:p>
    <w:p w:rsidR="00856D02" w:rsidRPr="005D6E2D" w:rsidRDefault="00CC1386" w:rsidP="001A6A4B">
      <w:pPr>
        <w:pStyle w:val="PR4"/>
        <w:rPr>
          <w:b w:val="0"/>
          <w:lang w:val="fr-CA"/>
        </w:rPr>
      </w:pPr>
      <w:r>
        <w:rPr>
          <w:rFonts w:eastAsia="Arial"/>
          <w:b w:val="0"/>
          <w:lang w:val="fr-CA"/>
        </w:rPr>
        <w:t xml:space="preserve">Modèle de trafic : </w:t>
      </w:r>
      <w:r>
        <w:rPr>
          <w:rFonts w:eastAsia="Arial"/>
          <w:bCs/>
          <w:lang w:val="fr-CA"/>
        </w:rPr>
        <w:t>[une direction] [deux directions] [comme illustré sur les dessins]</w:t>
      </w:r>
      <w:r>
        <w:rPr>
          <w:rFonts w:eastAsia="Arial"/>
          <w:b w:val="0"/>
          <w:lang w:val="fr-CA"/>
        </w:rPr>
        <w:t xml:space="preserve"> </w:t>
      </w:r>
    </w:p>
    <w:p w:rsidR="00856D02" w:rsidRPr="001A6A4B" w:rsidRDefault="00CC1386" w:rsidP="001A6A4B">
      <w:pPr>
        <w:pStyle w:val="PR4"/>
        <w:rPr>
          <w:b w:val="0"/>
        </w:rPr>
      </w:pPr>
      <w:r>
        <w:rPr>
          <w:rFonts w:eastAsia="Arial"/>
          <w:b w:val="0"/>
          <w:lang w:val="fr-CA"/>
        </w:rPr>
        <w:t>Montage : Surface appliquée</w:t>
      </w:r>
    </w:p>
    <w:p w:rsidR="00856D02" w:rsidRPr="00AB4664" w:rsidRDefault="00CC1386" w:rsidP="002B764B">
      <w:pPr>
        <w:pStyle w:val="PR1"/>
        <w:numPr>
          <w:ilvl w:val="4"/>
          <w:numId w:val="31"/>
        </w:numPr>
      </w:pPr>
      <w:r>
        <w:rPr>
          <w:rFonts w:eastAsia="Arial"/>
          <w:lang w:val="fr-CA"/>
        </w:rPr>
        <w:t>Fonctions de commande</w:t>
      </w:r>
    </w:p>
    <w:p w:rsidR="00414189" w:rsidRPr="00AB4664" w:rsidRDefault="00CC1386" w:rsidP="002B764B">
      <w:pPr>
        <w:pStyle w:val="PR2"/>
        <w:numPr>
          <w:ilvl w:val="5"/>
          <w:numId w:val="31"/>
        </w:numPr>
      </w:pPr>
      <w:r>
        <w:rPr>
          <w:rFonts w:eastAsia="Arial"/>
          <w:lang w:val="fr-CA"/>
        </w:rPr>
        <w:t>Fermeture à maintien sous tension</w:t>
      </w:r>
    </w:p>
    <w:p w:rsidR="00414189" w:rsidRPr="00AB4664" w:rsidRDefault="00CC1386" w:rsidP="002B764B">
      <w:pPr>
        <w:pStyle w:val="PR2"/>
        <w:numPr>
          <w:ilvl w:val="5"/>
          <w:numId w:val="31"/>
        </w:numPr>
      </w:pPr>
      <w:r>
        <w:rPr>
          <w:rFonts w:eastAsia="Arial"/>
          <w:lang w:val="fr-CA"/>
        </w:rPr>
        <w:t>Délai de verrouillage intégré</w:t>
      </w:r>
    </w:p>
    <w:p w:rsidR="00414189" w:rsidRPr="00AB4664" w:rsidRDefault="00CC1386" w:rsidP="002B764B">
      <w:pPr>
        <w:pStyle w:val="PR2"/>
        <w:numPr>
          <w:ilvl w:val="5"/>
          <w:numId w:val="31"/>
        </w:numPr>
      </w:pPr>
      <w:r>
        <w:rPr>
          <w:rFonts w:eastAsia="Arial"/>
          <w:lang w:val="fr-CA"/>
        </w:rPr>
        <w:t>Commande d’interrupteur Marche-arrêt-maintien ouvert pour contrôler la fonction de porte, (automatique-maintien ouvert- sortie seulement)</w:t>
      </w:r>
    </w:p>
    <w:p w:rsidR="00414189" w:rsidRPr="00AB4664" w:rsidRDefault="00CC1386" w:rsidP="002B764B">
      <w:pPr>
        <w:pStyle w:val="PR2"/>
        <w:numPr>
          <w:ilvl w:val="5"/>
          <w:numId w:val="31"/>
        </w:numPr>
      </w:pPr>
      <w:r>
        <w:rPr>
          <w:rFonts w:eastAsia="Arial"/>
          <w:lang w:val="fr-CA"/>
        </w:rPr>
        <w:t>Interrupteur marche-arrêt</w:t>
      </w:r>
    </w:p>
    <w:p w:rsidR="00414189" w:rsidRPr="00AB4664" w:rsidRDefault="00CC1386" w:rsidP="002B764B">
      <w:pPr>
        <w:pStyle w:val="PR2"/>
        <w:numPr>
          <w:ilvl w:val="5"/>
          <w:numId w:val="31"/>
        </w:numPr>
      </w:pPr>
      <w:r>
        <w:rPr>
          <w:rFonts w:eastAsia="Arial"/>
          <w:lang w:val="fr-CA"/>
        </w:rPr>
        <w:t>Intégration des alarmes incendie</w:t>
      </w:r>
    </w:p>
    <w:p w:rsidR="00B32593" w:rsidRPr="00AB4664" w:rsidRDefault="00CC1386" w:rsidP="002B764B">
      <w:pPr>
        <w:pStyle w:val="PR2"/>
        <w:numPr>
          <w:ilvl w:val="5"/>
          <w:numId w:val="31"/>
        </w:numPr>
      </w:pPr>
      <w:r>
        <w:rPr>
          <w:rFonts w:eastAsia="Arial"/>
          <w:lang w:val="fr-CA"/>
        </w:rPr>
        <w:t>Poignée réglable sur le terrain</w:t>
      </w:r>
    </w:p>
    <w:p w:rsidR="00B32593" w:rsidRPr="00AB4664" w:rsidRDefault="00CC1386" w:rsidP="002B764B">
      <w:pPr>
        <w:pStyle w:val="PR2"/>
        <w:numPr>
          <w:ilvl w:val="5"/>
          <w:numId w:val="31"/>
        </w:numPr>
      </w:pPr>
      <w:r>
        <w:rPr>
          <w:rFonts w:eastAsia="Arial"/>
          <w:lang w:val="fr-CA"/>
        </w:rPr>
        <w:t>Poussée simple</w:t>
      </w:r>
    </w:p>
    <w:p w:rsidR="00B32593" w:rsidRPr="00AB4664" w:rsidRDefault="00CC1386" w:rsidP="002B764B">
      <w:pPr>
        <w:pStyle w:val="PR2"/>
        <w:numPr>
          <w:ilvl w:val="5"/>
          <w:numId w:val="31"/>
        </w:numPr>
      </w:pPr>
      <w:r>
        <w:rPr>
          <w:rFonts w:eastAsia="Arial"/>
          <w:lang w:val="fr-CA"/>
        </w:rPr>
        <w:t>Activation de l’ouverture assistée</w:t>
      </w:r>
    </w:p>
    <w:p w:rsidR="0079432B" w:rsidRPr="00AB4664" w:rsidRDefault="00CC1386" w:rsidP="002B764B">
      <w:pPr>
        <w:pStyle w:val="PR2"/>
        <w:numPr>
          <w:ilvl w:val="5"/>
          <w:numId w:val="31"/>
        </w:numPr>
      </w:pPr>
      <w:r>
        <w:rPr>
          <w:rFonts w:eastAsia="Arial"/>
          <w:lang w:val="fr-CA"/>
        </w:rPr>
        <w:t xml:space="preserve">Connexions </w:t>
      </w:r>
      <w:proofErr w:type="spellStart"/>
      <w:r>
        <w:rPr>
          <w:rFonts w:eastAsia="Arial"/>
          <w:lang w:val="fr-CA"/>
        </w:rPr>
        <w:t>intergrades</w:t>
      </w:r>
      <w:proofErr w:type="spellEnd"/>
      <w:r>
        <w:rPr>
          <w:rFonts w:eastAsia="Arial"/>
          <w:lang w:val="fr-CA"/>
        </w:rPr>
        <w:t xml:space="preserve"> pour capteurs de sécurité surveillés et autres accessoires.</w:t>
      </w:r>
    </w:p>
    <w:p w:rsidR="00D37013" w:rsidRPr="00AB4664" w:rsidRDefault="00CC1386" w:rsidP="002B764B">
      <w:pPr>
        <w:pStyle w:val="PR2"/>
        <w:numPr>
          <w:ilvl w:val="5"/>
          <w:numId w:val="31"/>
        </w:numPr>
      </w:pPr>
      <w:r>
        <w:rPr>
          <w:rFonts w:eastAsia="Arial"/>
          <w:lang w:val="fr-CA"/>
        </w:rPr>
        <w:lastRenderedPageBreak/>
        <w:t>Contrôle d’accès intégré</w:t>
      </w:r>
    </w:p>
    <w:p w:rsidR="004D7191" w:rsidRPr="00AB4664" w:rsidRDefault="00CC1386" w:rsidP="002B764B">
      <w:pPr>
        <w:pStyle w:val="PR1"/>
        <w:numPr>
          <w:ilvl w:val="4"/>
          <w:numId w:val="31"/>
        </w:numPr>
      </w:pPr>
      <w:r>
        <w:rPr>
          <w:rFonts w:eastAsia="Arial"/>
          <w:lang w:val="fr-CA"/>
        </w:rPr>
        <w:t>Caractéristiques de la commande de porte</w:t>
      </w:r>
    </w:p>
    <w:p w:rsidR="0079432B" w:rsidRPr="00005404" w:rsidRDefault="00CC1386" w:rsidP="002B764B">
      <w:pPr>
        <w:pStyle w:val="PR2"/>
        <w:numPr>
          <w:ilvl w:val="5"/>
          <w:numId w:val="31"/>
        </w:numPr>
      </w:pPr>
      <w:r>
        <w:rPr>
          <w:rFonts w:eastAsia="Arial"/>
          <w:lang w:val="fr-CA"/>
        </w:rPr>
        <w:t xml:space="preserve">Le microprocesseur de charge du vent et de pression de cheminée est surveillé avec une puissance d’amplification pour assurer une ouverture et une fermeture sécurisées dans des conditions changeantes. </w:t>
      </w:r>
    </w:p>
    <w:p w:rsidR="00F533B3" w:rsidRPr="00005404" w:rsidRDefault="00CC1386" w:rsidP="002B764B">
      <w:pPr>
        <w:pStyle w:val="PR2"/>
        <w:numPr>
          <w:ilvl w:val="5"/>
          <w:numId w:val="31"/>
        </w:numPr>
      </w:pPr>
      <w:r>
        <w:rPr>
          <w:rFonts w:eastAsia="Arial"/>
          <w:lang w:val="fr-CA"/>
        </w:rPr>
        <w:t xml:space="preserve">Poids de porte max. </w:t>
      </w:r>
      <w:r>
        <w:rPr>
          <w:rFonts w:eastAsia="Arial"/>
          <w:b/>
          <w:bCs/>
          <w:lang w:val="fr-CA"/>
        </w:rPr>
        <w:t>220 lb</w:t>
      </w:r>
    </w:p>
    <w:p w:rsidR="00F533B3" w:rsidRPr="00005404" w:rsidRDefault="00CC1386" w:rsidP="002B764B">
      <w:pPr>
        <w:pStyle w:val="PR1"/>
        <w:numPr>
          <w:ilvl w:val="4"/>
          <w:numId w:val="31"/>
        </w:numPr>
      </w:pPr>
      <w:r>
        <w:rPr>
          <w:rFonts w:eastAsia="Arial"/>
          <w:lang w:val="fr-CA"/>
        </w:rPr>
        <w:t xml:space="preserve">Taille de linteau : Hauteur de linteau étroite à 4 po x 6 po x 39 po de longueur (peut être modifiée sur place) </w:t>
      </w:r>
      <w:r>
        <w:rPr>
          <w:rFonts w:eastAsia="Arial"/>
          <w:b/>
          <w:bCs/>
          <w:lang w:val="fr-CA"/>
        </w:rPr>
        <w:t>[facultatif – Hauteur de linteau fine à 2 3⁄4 po x 5 po 1/8 po de profondeur.]</w:t>
      </w:r>
    </w:p>
    <w:p w:rsidR="00E546C0" w:rsidRPr="005D6E2D" w:rsidRDefault="00CC1386" w:rsidP="00E546C0">
      <w:pPr>
        <w:pStyle w:val="CMTGreen"/>
        <w:rPr>
          <w:lang w:val="fr-CA"/>
        </w:rPr>
      </w:pPr>
      <w:r>
        <w:rPr>
          <w:rFonts w:eastAsia="Arial"/>
          <w:szCs w:val="18"/>
          <w:lang w:val="fr-CA"/>
        </w:rPr>
        <w:t>Retirer toute cette option d’évacuation de la fumée si elle n’est pas requise.</w:t>
      </w:r>
    </w:p>
    <w:p w:rsidR="0079432B" w:rsidRPr="005D6E2D" w:rsidRDefault="00CC1386" w:rsidP="002B764B">
      <w:pPr>
        <w:pStyle w:val="ART"/>
        <w:numPr>
          <w:ilvl w:val="3"/>
          <w:numId w:val="31"/>
        </w:numPr>
        <w:rPr>
          <w:b/>
          <w:lang w:val="fr-CA"/>
        </w:rPr>
      </w:pPr>
      <w:r>
        <w:rPr>
          <w:rFonts w:eastAsia="Arial"/>
          <w:b/>
          <w:bCs/>
          <w:lang w:val="fr-CA"/>
        </w:rPr>
        <w:t xml:space="preserve"> [ACTIVATION PAR LE SYSTÈME D’ÉVACUATION DE LA FUMÉE]</w:t>
      </w:r>
    </w:p>
    <w:p w:rsidR="00E546C0" w:rsidRPr="005D6E2D" w:rsidRDefault="00CC1386" w:rsidP="002B764B">
      <w:pPr>
        <w:pStyle w:val="PR1"/>
        <w:numPr>
          <w:ilvl w:val="4"/>
          <w:numId w:val="31"/>
        </w:numPr>
        <w:rPr>
          <w:b/>
          <w:lang w:val="fr-CA" w:eastAsia="en-US"/>
        </w:rPr>
      </w:pPr>
      <w:r>
        <w:rPr>
          <w:rFonts w:eastAsia="Arial"/>
          <w:b/>
          <w:bCs/>
          <w:lang w:val="fr-CA" w:eastAsia="en-US"/>
        </w:rPr>
        <w:t>Généralités : Fournir l’activation par évacuation de l’avertisseur de fumée. Coordonner les autres dispositifs d’activation et de sécurité requis avec le fonctionnement de la porte et les commandes de l’actionneur de porte.</w:t>
      </w:r>
    </w:p>
    <w:p w:rsidR="00E546C0" w:rsidRPr="005D6E2D" w:rsidRDefault="00CC1386" w:rsidP="002B764B">
      <w:pPr>
        <w:pStyle w:val="PR1"/>
        <w:numPr>
          <w:ilvl w:val="4"/>
          <w:numId w:val="31"/>
        </w:numPr>
        <w:rPr>
          <w:lang w:val="fr-CA" w:eastAsia="en-US"/>
        </w:rPr>
      </w:pPr>
      <w:r>
        <w:rPr>
          <w:rFonts w:eastAsia="Arial"/>
          <w:b/>
          <w:bCs/>
          <w:lang w:val="fr-CA" w:eastAsia="en-US"/>
        </w:rPr>
        <w:t>Activation : Le système d’évacuation de la fumée doit permettre l’activation de l’actionneur au moyen d’un point de contact dans l’actionneur de porte pour contrôler l’ouverture et la fermeture de la porte en cas d’alarme. Les portes doivent être maintenues ouvertes jusqu’à ce que le système d’évacuation de la fumée soit réinitialisé</w:t>
      </w:r>
      <w:r>
        <w:rPr>
          <w:rFonts w:eastAsia="Arial"/>
          <w:lang w:val="fr-CA" w:eastAsia="en-US"/>
        </w:rPr>
        <w:t xml:space="preserve">. </w:t>
      </w:r>
      <w:r>
        <w:rPr>
          <w:rFonts w:eastAsia="Arial"/>
          <w:b/>
          <w:bCs/>
          <w:lang w:val="fr-CA" w:eastAsia="en-US"/>
        </w:rPr>
        <w:t>État de la position de la porte intégré dans l’actionneur et la commande sans relais ou aimants supplémentaires.</w:t>
      </w:r>
    </w:p>
    <w:p w:rsidR="00E546C0" w:rsidRDefault="00CC1386" w:rsidP="002B764B">
      <w:pPr>
        <w:pStyle w:val="ART"/>
        <w:numPr>
          <w:ilvl w:val="3"/>
          <w:numId w:val="31"/>
        </w:numPr>
      </w:pPr>
      <w:r>
        <w:rPr>
          <w:rFonts w:eastAsia="Arial"/>
          <w:lang w:val="fr-CA"/>
        </w:rPr>
        <w:t>DISPOSITIFS D’ACTIVATION</w:t>
      </w:r>
    </w:p>
    <w:p w:rsidR="00251072" w:rsidRPr="005D6E2D" w:rsidRDefault="00CC1386" w:rsidP="00251072">
      <w:pPr>
        <w:pStyle w:val="CMTGreen"/>
        <w:rPr>
          <w:lang w:val="fr-CA" w:eastAsia="en-US"/>
        </w:rPr>
      </w:pPr>
      <w:r>
        <w:rPr>
          <w:rFonts w:eastAsia="Arial"/>
          <w:szCs w:val="18"/>
          <w:lang w:val="fr-CA" w:eastAsia="en-US"/>
        </w:rPr>
        <w:t xml:space="preserve">Sélectionner des dispositifs d’activation supplémentaires pour les opérations de porte coulissante. </w:t>
      </w:r>
    </w:p>
    <w:p w:rsidR="00251072" w:rsidRDefault="00CC1386" w:rsidP="002B764B">
      <w:pPr>
        <w:pStyle w:val="PR1"/>
        <w:numPr>
          <w:ilvl w:val="4"/>
          <w:numId w:val="31"/>
        </w:numPr>
      </w:pPr>
      <w:r>
        <w:rPr>
          <w:rFonts w:eastAsia="Arial"/>
          <w:lang w:val="fr-CA"/>
        </w:rPr>
        <w:t xml:space="preserve">Dispositif d’activation :  </w:t>
      </w:r>
    </w:p>
    <w:p w:rsidR="00251072" w:rsidRPr="00E05A6C" w:rsidRDefault="00CC1386" w:rsidP="002B764B">
      <w:pPr>
        <w:pStyle w:val="PR2"/>
        <w:numPr>
          <w:ilvl w:val="5"/>
          <w:numId w:val="31"/>
        </w:numPr>
        <w:rPr>
          <w:rFonts w:ascii="Times New Roman" w:hAnsi="Times New Roman"/>
          <w:b/>
        </w:rPr>
      </w:pPr>
      <w:r>
        <w:rPr>
          <w:rFonts w:eastAsia="Arial"/>
          <w:b/>
          <w:bCs/>
          <w:lang w:val="fr-CA"/>
        </w:rPr>
        <w:t>[Plaque à pousser :  Plaque à pousser en acier inoxydable [4-3/4 po carrée] [6 po ronde] câblée avec mention gravée « Pousser pour ouvrir » et avec logo de handicap.]</w:t>
      </w:r>
    </w:p>
    <w:p w:rsidR="00251072" w:rsidRPr="00E05A6C" w:rsidRDefault="00CC1386" w:rsidP="002B764B">
      <w:pPr>
        <w:pStyle w:val="PR2"/>
        <w:numPr>
          <w:ilvl w:val="5"/>
          <w:numId w:val="31"/>
        </w:numPr>
        <w:rPr>
          <w:rFonts w:ascii="Times New Roman" w:hAnsi="Times New Roman"/>
          <w:b/>
        </w:rPr>
      </w:pPr>
      <w:r>
        <w:rPr>
          <w:rFonts w:eastAsia="Arial"/>
          <w:b/>
          <w:bCs/>
          <w:lang w:val="fr-CA"/>
        </w:rPr>
        <w:t>[Plaque à pousser :  [Câblage] [Sans fil], Plaque à po</w:t>
      </w:r>
      <w:r w:rsidR="005D6E2D">
        <w:rPr>
          <w:rFonts w:eastAsia="Arial"/>
          <w:b/>
          <w:bCs/>
          <w:lang w:val="fr-CA"/>
        </w:rPr>
        <w:t>usser en acier inoxydable de 36 </w:t>
      </w:r>
      <w:r>
        <w:rPr>
          <w:rFonts w:eastAsia="Arial"/>
          <w:b/>
          <w:bCs/>
          <w:lang w:val="fr-CA"/>
        </w:rPr>
        <w:t>po x 6 po avec mention gravée « Pousser pour ouvrir » et avec logo de handicap.]</w:t>
      </w:r>
    </w:p>
    <w:p w:rsidR="00251072" w:rsidRPr="00E05A6C" w:rsidRDefault="00CC1386" w:rsidP="002B764B">
      <w:pPr>
        <w:pStyle w:val="PR2"/>
        <w:numPr>
          <w:ilvl w:val="5"/>
          <w:numId w:val="31"/>
        </w:numPr>
        <w:rPr>
          <w:b/>
        </w:rPr>
      </w:pPr>
      <w:r>
        <w:rPr>
          <w:rFonts w:eastAsia="Arial"/>
          <w:b/>
          <w:bCs/>
          <w:lang w:val="fr-CA"/>
        </w:rPr>
        <w:t>[Plaque à pousser :  Interrupteurs à plaque à pousser montés sur montant, câblés, 1 1/2 po x 4 3/4 po, en acier inoxydable avec mention gravée « Pousser pour ouvrir » et avec logo de handicap.]</w:t>
      </w:r>
    </w:p>
    <w:p w:rsidR="00251072" w:rsidRPr="00E05A6C" w:rsidRDefault="00CC1386" w:rsidP="002B764B">
      <w:pPr>
        <w:pStyle w:val="PR2"/>
        <w:numPr>
          <w:ilvl w:val="5"/>
          <w:numId w:val="31"/>
        </w:numPr>
        <w:rPr>
          <w:b/>
        </w:rPr>
      </w:pPr>
      <w:r>
        <w:rPr>
          <w:rFonts w:eastAsia="Arial"/>
          <w:b/>
          <w:bCs/>
          <w:lang w:val="fr-CA"/>
        </w:rPr>
        <w:t>[Plaque à pousser :  Plaque à pousser radiocommandée, sans fil 900 Hz, [carré de 4 3/4 po] [rond de 6 po] en acier inoxydable avec mention gravée « Pousser pour ouvrir » et avec logo de handicap.]</w:t>
      </w:r>
    </w:p>
    <w:p w:rsidR="00251072" w:rsidRPr="00E05A6C" w:rsidRDefault="00CC1386" w:rsidP="002B764B">
      <w:pPr>
        <w:pStyle w:val="PR2"/>
        <w:numPr>
          <w:ilvl w:val="5"/>
          <w:numId w:val="31"/>
        </w:numPr>
        <w:rPr>
          <w:b/>
        </w:rPr>
      </w:pPr>
      <w:r>
        <w:rPr>
          <w:rFonts w:eastAsia="Arial"/>
          <w:b/>
          <w:bCs/>
          <w:lang w:val="fr-CA"/>
        </w:rPr>
        <w:t xml:space="preserve">[Bouton sans contact : [2 3/4 po x 4 1/2 po] [4 1/2 po carré] plaque d’activation du capteur en noir.  La technologie de micro-ondes </w:t>
      </w:r>
      <w:r w:rsidR="005D6E2D">
        <w:rPr>
          <w:rFonts w:eastAsia="Arial"/>
          <w:b/>
          <w:bCs/>
          <w:lang w:val="fr-CA"/>
        </w:rPr>
        <w:t>a une portée réglable de 2 à 24 </w:t>
      </w:r>
      <w:r>
        <w:rPr>
          <w:rFonts w:eastAsia="Arial"/>
          <w:b/>
          <w:bCs/>
          <w:lang w:val="fr-CA"/>
        </w:rPr>
        <w:t>pouces.]</w:t>
      </w:r>
    </w:p>
    <w:p w:rsidR="00251072" w:rsidRPr="00815620" w:rsidRDefault="00CC1386" w:rsidP="002B764B">
      <w:pPr>
        <w:pStyle w:val="PR2"/>
        <w:numPr>
          <w:ilvl w:val="5"/>
          <w:numId w:val="31"/>
        </w:numPr>
        <w:rPr>
          <w:b/>
        </w:rPr>
      </w:pPr>
      <w:r>
        <w:rPr>
          <w:rFonts w:eastAsia="Arial"/>
          <w:b/>
          <w:bCs/>
          <w:lang w:val="fr-CA"/>
        </w:rPr>
        <w:t xml:space="preserve">[Activateur de contrôle d’accès : tel que sélectionné par l’architecte.] </w:t>
      </w:r>
    </w:p>
    <w:p w:rsidR="005D5A9F" w:rsidRPr="005D6E2D" w:rsidRDefault="005D5A9F" w:rsidP="00815620">
      <w:pPr>
        <w:pStyle w:val="PR2"/>
        <w:numPr>
          <w:ilvl w:val="0"/>
          <w:numId w:val="0"/>
        </w:numPr>
        <w:ind w:left="1440"/>
        <w:rPr>
          <w:b/>
          <w:lang w:val="fr-CA"/>
        </w:rPr>
      </w:pPr>
    </w:p>
    <w:p w:rsidR="005D5A9F" w:rsidRPr="005D6E2D" w:rsidRDefault="00CC1386" w:rsidP="005D5A9F">
      <w:pPr>
        <w:ind w:left="900"/>
        <w:rPr>
          <w:rFonts w:cs="Arial"/>
          <w:i/>
          <w:iCs/>
          <w:color w:val="808080" w:themeColor="background1" w:themeShade="80"/>
          <w:shd w:val="clear" w:color="auto" w:fill="FFFFFF"/>
          <w:lang w:val="fr-CA"/>
        </w:rPr>
      </w:pPr>
      <w:bookmarkStart w:id="4" w:name="_Hlk523824863"/>
      <w:r>
        <w:rPr>
          <w:rFonts w:eastAsia="Arial" w:cs="Arial"/>
          <w:i/>
          <w:iCs/>
          <w:color w:val="808080"/>
          <w:shd w:val="clear" w:color="auto" w:fill="FFFFFF"/>
          <w:lang w:val="fr-CA"/>
        </w:rPr>
        <w:t xml:space="preserve">Le code du bâtiment de la Californie exige deux actionneurs de plaque à pousser à chaque emplacement d’actionneur, l’un monté entre 178 et 203 mm (7 et 8 po) du sol à la ligne centrale, et l’autre monté entre 762 et 1 118 mm (44 po) au-dessus du sol. Les barres d’actionnement verticales peuvent être utilisées au lieu de deux actionneurs distincts, avec le </w:t>
      </w:r>
      <w:r>
        <w:rPr>
          <w:rFonts w:eastAsia="Arial" w:cs="Arial"/>
          <w:i/>
          <w:iCs/>
          <w:color w:val="808080"/>
          <w:shd w:val="clear" w:color="auto" w:fill="FFFFFF"/>
          <w:lang w:val="fr-CA"/>
        </w:rPr>
        <w:lastRenderedPageBreak/>
        <w:t>bas de la barre à 127 mm (5 po) maximum au-dessus du plancher et le haut à 889 mm (35 po) minimum au-dessus du plancher</w:t>
      </w:r>
      <w:bookmarkEnd w:id="4"/>
      <w:r>
        <w:rPr>
          <w:rFonts w:eastAsia="Arial" w:cs="Arial"/>
          <w:i/>
          <w:iCs/>
          <w:color w:val="808080"/>
          <w:shd w:val="clear" w:color="auto" w:fill="FFFFFF"/>
          <w:lang w:val="fr-CA"/>
        </w:rPr>
        <w:t>.</w:t>
      </w:r>
    </w:p>
    <w:p w:rsidR="00251072" w:rsidRDefault="00CC1386" w:rsidP="002B764B">
      <w:pPr>
        <w:pStyle w:val="ART"/>
        <w:numPr>
          <w:ilvl w:val="3"/>
          <w:numId w:val="31"/>
        </w:numPr>
      </w:pPr>
      <w:r>
        <w:rPr>
          <w:rFonts w:eastAsia="Arial"/>
          <w:lang w:val="fr-CA"/>
        </w:rPr>
        <w:t>DISPOSITIFS DE SÉCURITÉ</w:t>
      </w:r>
    </w:p>
    <w:p w:rsidR="00251072" w:rsidRPr="00251072" w:rsidRDefault="00CC1386" w:rsidP="00251072">
      <w:pPr>
        <w:pStyle w:val="CMTGreen"/>
        <w:rPr>
          <w:lang w:val="en-US"/>
        </w:rPr>
      </w:pPr>
      <w:r>
        <w:rPr>
          <w:rFonts w:eastAsia="Arial"/>
          <w:szCs w:val="18"/>
          <w:lang w:val="fr-CA"/>
        </w:rPr>
        <w:t xml:space="preserve">Sélectionner le type de dispositif de sécurité requis pour le projet. Veuillez sélectionner l’une des options suivantes (B) (C) (D). </w:t>
      </w:r>
    </w:p>
    <w:p w:rsidR="00014FF3" w:rsidRPr="00AB4664" w:rsidRDefault="00CC1386" w:rsidP="002B764B">
      <w:pPr>
        <w:pStyle w:val="PR1"/>
        <w:numPr>
          <w:ilvl w:val="4"/>
          <w:numId w:val="31"/>
        </w:numPr>
      </w:pPr>
      <w:r>
        <w:rPr>
          <w:rFonts w:eastAsia="Arial"/>
          <w:lang w:val="fr-CA"/>
        </w:rPr>
        <w:t>Fournir des commandes de porte conformes aux normes ANSI/BHMA A 156.19 et conformes au standard BHMA cité pour l’état d’exposition et le fonctionnement à long terme sans entretien dans des conditions normales de circulation. Lorsque des capteurs de présence sont utilisés, ils doivent être surveillés conformément au standard ANSI/BHMA A 156.10. Coordonner les commandes avec le fonctionnement de la porte et les actionneurs de porte.</w:t>
      </w:r>
    </w:p>
    <w:p w:rsidR="007C7C64" w:rsidRPr="005D6E2D" w:rsidRDefault="00CC1386" w:rsidP="002B764B">
      <w:pPr>
        <w:pStyle w:val="PR1"/>
        <w:numPr>
          <w:ilvl w:val="4"/>
          <w:numId w:val="31"/>
        </w:numPr>
        <w:rPr>
          <w:b/>
          <w:lang w:val="fr-CA"/>
        </w:rPr>
      </w:pPr>
      <w:r>
        <w:rPr>
          <w:rFonts w:eastAsia="Arial"/>
          <w:b/>
          <w:bCs/>
          <w:lang w:val="fr-CA"/>
        </w:rPr>
        <w:t xml:space="preserve">[(Système de capteur monté sur la porte) DMS tel que spécifié : </w:t>
      </w:r>
    </w:p>
    <w:p w:rsidR="007C7C64" w:rsidRDefault="00CC1386" w:rsidP="002B764B">
      <w:pPr>
        <w:pStyle w:val="PR2"/>
        <w:numPr>
          <w:ilvl w:val="5"/>
          <w:numId w:val="31"/>
        </w:numPr>
        <w:rPr>
          <w:b/>
        </w:rPr>
      </w:pPr>
      <w:r>
        <w:rPr>
          <w:rFonts w:eastAsia="Arial"/>
          <w:b/>
          <w:bCs/>
          <w:lang w:val="fr-CA"/>
        </w:rPr>
        <w:t>Capteur de présence monté sur porte (DMS) :  Capteur de présence infrarouge monté sur la porte monté sur le côté d'approche ou de poussée de la porte. Chaque module du boîtier du capteur doit détecter une personne d’au moins 50,8 cm (28 po). Le capteur doit être monté sur le rail supérieur de la ou des porte(s).  Le système réactivera une porte qui se ferme.]</w:t>
      </w:r>
    </w:p>
    <w:p w:rsidR="007C7C64" w:rsidRPr="00A27E61" w:rsidRDefault="00CC1386" w:rsidP="002B764B">
      <w:pPr>
        <w:pStyle w:val="PR1"/>
        <w:numPr>
          <w:ilvl w:val="4"/>
          <w:numId w:val="31"/>
        </w:numPr>
        <w:rPr>
          <w:b/>
        </w:rPr>
      </w:pPr>
      <w:r>
        <w:rPr>
          <w:rFonts w:eastAsia="Arial"/>
          <w:b/>
          <w:bCs/>
          <w:lang w:val="fr-CA"/>
        </w:rPr>
        <w:t>[OHPS + (1) DMS, combinaison d’un capteur de présence de ferme-porte encastré (OHPS) et de capteurs de présence montés sur porte (DMS) comme spécifié :]</w:t>
      </w:r>
    </w:p>
    <w:p w:rsidR="007C7C64" w:rsidRPr="006E173E" w:rsidRDefault="00CC1386" w:rsidP="002B764B">
      <w:pPr>
        <w:pStyle w:val="PR2"/>
        <w:numPr>
          <w:ilvl w:val="5"/>
          <w:numId w:val="31"/>
        </w:numPr>
        <w:rPr>
          <w:b/>
        </w:rPr>
      </w:pPr>
      <w:r>
        <w:rPr>
          <w:rFonts w:eastAsia="Arial"/>
          <w:b/>
          <w:bCs/>
          <w:lang w:val="fr-CA"/>
        </w:rPr>
        <w:t xml:space="preserve">Capteur de présence monté au ferme-porte encastré (OHPS) :  Capteur de présence au ferme-porte encastré monté sur le linteau, monté sur le côté battant de la porte à l’aide de la technologie infrarouge pour la détection; réglable pour fournir les tailles de champ de détection et les fonctions requises par ANSI/BHMA A156.10. </w:t>
      </w:r>
    </w:p>
    <w:p w:rsidR="007C7C64" w:rsidRPr="005D6E2D" w:rsidRDefault="00CC1386" w:rsidP="004E0491">
      <w:pPr>
        <w:pStyle w:val="PR4"/>
        <w:numPr>
          <w:ilvl w:val="0"/>
          <w:numId w:val="0"/>
        </w:numPr>
        <w:ind w:left="2160" w:hanging="720"/>
        <w:rPr>
          <w:lang w:val="fr-CA"/>
        </w:rPr>
      </w:pPr>
      <w:r>
        <w:rPr>
          <w:rFonts w:eastAsia="Arial"/>
          <w:bCs/>
          <w:lang w:val="fr-CA"/>
        </w:rPr>
        <w:t>a.</w:t>
      </w:r>
      <w:r>
        <w:rPr>
          <w:rFonts w:eastAsia="Arial"/>
          <w:bCs/>
          <w:lang w:val="fr-CA"/>
        </w:rPr>
        <w:tab/>
        <w:t>Le capteur doit être inhibé pendant le cycle de fermeture de la porte.</w:t>
      </w:r>
    </w:p>
    <w:p w:rsidR="007C7C64" w:rsidRPr="006E173E" w:rsidRDefault="00CC1386" w:rsidP="002B764B">
      <w:pPr>
        <w:pStyle w:val="PR2"/>
        <w:numPr>
          <w:ilvl w:val="5"/>
          <w:numId w:val="31"/>
        </w:numPr>
        <w:rPr>
          <w:rFonts w:cs="Arial"/>
          <w:b/>
        </w:rPr>
      </w:pPr>
      <w:r>
        <w:rPr>
          <w:rFonts w:eastAsia="Arial"/>
          <w:b/>
          <w:bCs/>
          <w:lang w:val="fr-CA"/>
        </w:rPr>
        <w:t xml:space="preserve">Capteur de présence monté sur la porte (DMS) Capteur de présence infrarouge monté sur la porte monté sur le côté d'approche ou de traction de la porte. Chaque module du boîtier du capteur doit détecter une personne d’au moins 50,8 cm (28 po). </w:t>
      </w:r>
      <w:r>
        <w:rPr>
          <w:rFonts w:eastAsia="Arial" w:cs="Arial"/>
          <w:b/>
          <w:bCs/>
          <w:lang w:val="fr-CA"/>
        </w:rPr>
        <w:t>Le capteur de présence monté sur la porte doit être surveillé à la fois à l’intérieur et à l’extérieur conformément au standard ANSI/BHMA A156.10.</w:t>
      </w:r>
    </w:p>
    <w:p w:rsidR="00EA542A" w:rsidRPr="005D6E2D" w:rsidRDefault="00CC1386" w:rsidP="007C7C64">
      <w:pPr>
        <w:pStyle w:val="PR3"/>
        <w:numPr>
          <w:ilvl w:val="0"/>
          <w:numId w:val="0"/>
        </w:numPr>
        <w:tabs>
          <w:tab w:val="left" w:pos="2196"/>
        </w:tabs>
        <w:ind w:left="2016" w:hanging="576"/>
        <w:rPr>
          <w:b/>
          <w:lang w:val="fr-CA"/>
        </w:rPr>
      </w:pPr>
      <w:r>
        <w:rPr>
          <w:rFonts w:eastAsia="Arial"/>
          <w:b/>
          <w:bCs/>
          <w:lang w:val="fr-CA"/>
        </w:rPr>
        <w:t>a.</w:t>
      </w:r>
      <w:r>
        <w:rPr>
          <w:rFonts w:eastAsia="Arial"/>
          <w:b/>
          <w:bCs/>
          <w:lang w:val="fr-CA"/>
        </w:rPr>
        <w:tab/>
        <w:t xml:space="preserve">Le système réactivera une porte qui se ferme, gardera une porte fermée </w:t>
      </w:r>
      <w:proofErr w:type="spellStart"/>
      <w:r>
        <w:rPr>
          <w:rFonts w:eastAsia="Arial"/>
          <w:b/>
          <w:bCs/>
          <w:lang w:val="fr-CA"/>
        </w:rPr>
        <w:t>fermée</w:t>
      </w:r>
      <w:proofErr w:type="spellEnd"/>
      <w:r>
        <w:rPr>
          <w:rFonts w:eastAsia="Arial"/>
          <w:b/>
          <w:bCs/>
          <w:lang w:val="fr-CA"/>
        </w:rPr>
        <w:t xml:space="preserve"> et gardera une porte ouverte </w:t>
      </w:r>
      <w:proofErr w:type="spellStart"/>
      <w:r>
        <w:rPr>
          <w:rFonts w:eastAsia="Arial"/>
          <w:b/>
          <w:bCs/>
          <w:lang w:val="fr-CA"/>
        </w:rPr>
        <w:t>ouverte</w:t>
      </w:r>
      <w:proofErr w:type="spellEnd"/>
      <w:r>
        <w:rPr>
          <w:rFonts w:eastAsia="Arial"/>
          <w:b/>
          <w:bCs/>
          <w:lang w:val="fr-CA"/>
        </w:rPr>
        <w:t xml:space="preserve"> si une personne se trouve dans la zone de détection des capteurs.</w:t>
      </w:r>
    </w:p>
    <w:p w:rsidR="007C7C64" w:rsidRPr="005D6E2D" w:rsidRDefault="00CC1386" w:rsidP="007C7C64">
      <w:pPr>
        <w:pStyle w:val="PR3"/>
        <w:numPr>
          <w:ilvl w:val="0"/>
          <w:numId w:val="0"/>
        </w:numPr>
        <w:tabs>
          <w:tab w:val="left" w:pos="2196"/>
        </w:tabs>
        <w:ind w:left="2016" w:hanging="576"/>
        <w:rPr>
          <w:b/>
          <w:lang w:val="fr-CA"/>
        </w:rPr>
      </w:pPr>
      <w:r>
        <w:rPr>
          <w:rFonts w:eastAsia="Arial"/>
          <w:b/>
          <w:bCs/>
          <w:lang w:val="fr-CA"/>
        </w:rPr>
        <w:t xml:space="preserve">b. </w:t>
      </w:r>
      <w:r>
        <w:rPr>
          <w:rFonts w:eastAsia="Arial"/>
          <w:b/>
          <w:bCs/>
          <w:lang w:val="fr-CA"/>
        </w:rPr>
        <w:tab/>
        <w:t xml:space="preserve">Le système ne doit pas activer une porte fermée. </w:t>
      </w:r>
    </w:p>
    <w:p w:rsidR="007C7C64" w:rsidRPr="005D6E2D" w:rsidRDefault="00CC1386" w:rsidP="002B764B">
      <w:pPr>
        <w:pStyle w:val="PR1"/>
        <w:numPr>
          <w:ilvl w:val="4"/>
          <w:numId w:val="31"/>
        </w:numPr>
        <w:rPr>
          <w:b/>
          <w:lang w:val="fr-CA" w:eastAsia="en-US"/>
        </w:rPr>
      </w:pPr>
      <w:r>
        <w:rPr>
          <w:rFonts w:eastAsia="Arial"/>
          <w:b/>
          <w:bCs/>
          <w:lang w:val="fr-CA"/>
        </w:rPr>
        <w:t>[Systèmes de détection de présence et dispositifs de sécurité] :</w:t>
      </w:r>
    </w:p>
    <w:p w:rsidR="007C7C64" w:rsidRPr="008E4138" w:rsidRDefault="00CC1386" w:rsidP="002B764B">
      <w:pPr>
        <w:pStyle w:val="PR2"/>
        <w:numPr>
          <w:ilvl w:val="5"/>
          <w:numId w:val="31"/>
        </w:numPr>
        <w:rPr>
          <w:b/>
        </w:rPr>
      </w:pPr>
      <w:r>
        <w:rPr>
          <w:rFonts w:eastAsia="Arial"/>
          <w:b/>
          <w:bCs/>
          <w:lang w:val="fr-CA"/>
        </w:rPr>
        <w:t xml:space="preserve">Système de capteur adaptatif monté sur porte (base du design) : </w:t>
      </w:r>
    </w:p>
    <w:p w:rsidR="007C7C64" w:rsidRPr="005D6E2D" w:rsidRDefault="00CC1386" w:rsidP="007C7C64">
      <w:pPr>
        <w:pStyle w:val="PR3"/>
        <w:numPr>
          <w:ilvl w:val="0"/>
          <w:numId w:val="0"/>
        </w:numPr>
        <w:tabs>
          <w:tab w:val="clear" w:pos="2016"/>
          <w:tab w:val="left" w:pos="1980"/>
        </w:tabs>
        <w:ind w:left="2016" w:hanging="576"/>
        <w:rPr>
          <w:b/>
          <w:lang w:val="fr-CA"/>
        </w:rPr>
      </w:pPr>
      <w:r>
        <w:rPr>
          <w:rFonts w:eastAsia="Arial"/>
          <w:b/>
          <w:bCs/>
          <w:lang w:val="fr-CA"/>
        </w:rPr>
        <w:t>a.</w:t>
      </w:r>
      <w:r>
        <w:rPr>
          <w:rFonts w:eastAsia="Arial"/>
          <w:b/>
          <w:bCs/>
          <w:lang w:val="fr-CA"/>
        </w:rPr>
        <w:tab/>
        <w:t xml:space="preserve">Systèmes de sécurité adaptatifs montés sur porte (ADMSS) : Capteur de présence monté sur la porte, où le capteur doit être monté à la fois du côté battant (tirer) et du côté d’approche (pousser) de la porte. Aucun capteur monté sur le linteau n’est requis. </w:t>
      </w:r>
    </w:p>
    <w:p w:rsidR="007C7C64" w:rsidRPr="005D6E2D" w:rsidRDefault="00CC1386" w:rsidP="009C5A87">
      <w:pPr>
        <w:pStyle w:val="PR4"/>
        <w:numPr>
          <w:ilvl w:val="0"/>
          <w:numId w:val="0"/>
        </w:numPr>
        <w:tabs>
          <w:tab w:val="clear" w:pos="2160"/>
          <w:tab w:val="left" w:pos="2520"/>
        </w:tabs>
        <w:ind w:left="2520" w:hanging="540"/>
        <w:rPr>
          <w:lang w:val="fr-CA"/>
        </w:rPr>
      </w:pPr>
      <w:r>
        <w:rPr>
          <w:rFonts w:eastAsia="Arial"/>
          <w:bCs/>
          <w:lang w:val="fr-CA"/>
        </w:rPr>
        <w:t>1)</w:t>
      </w:r>
      <w:r>
        <w:rPr>
          <w:rFonts w:eastAsia="Arial"/>
          <w:bCs/>
          <w:lang w:val="fr-CA"/>
        </w:rPr>
        <w:tab/>
      </w:r>
      <w:r>
        <w:rPr>
          <w:rFonts w:eastAsia="Arial"/>
          <w:bCs/>
          <w:lang w:val="fr-CA"/>
        </w:rPr>
        <w:tab/>
        <w:t xml:space="preserve">Le capteur doit fournir un schéma de détection complet qui couvre toute la trajectoire de battement de la porte et qui permet la détection en position complètement ouverte et complètement fermée.  Lorsque la porte est en mouvement, le motif doit permettre la détection des panneaux de porte de 24 po à 48 po. </w:t>
      </w:r>
    </w:p>
    <w:p w:rsidR="007C7C64" w:rsidRPr="005D6E2D" w:rsidRDefault="00CC1386" w:rsidP="009C5A87">
      <w:pPr>
        <w:pStyle w:val="PR4"/>
        <w:numPr>
          <w:ilvl w:val="0"/>
          <w:numId w:val="0"/>
        </w:numPr>
        <w:tabs>
          <w:tab w:val="clear" w:pos="2160"/>
          <w:tab w:val="left" w:pos="2520"/>
        </w:tabs>
        <w:ind w:left="2520" w:hanging="540"/>
        <w:rPr>
          <w:lang w:val="fr-CA"/>
        </w:rPr>
      </w:pPr>
      <w:r>
        <w:rPr>
          <w:rFonts w:eastAsia="Arial"/>
          <w:bCs/>
          <w:lang w:val="fr-CA"/>
        </w:rPr>
        <w:t>2)</w:t>
      </w:r>
      <w:r>
        <w:rPr>
          <w:rFonts w:eastAsia="Arial"/>
          <w:bCs/>
          <w:lang w:val="fr-CA"/>
        </w:rPr>
        <w:tab/>
      </w:r>
      <w:r>
        <w:rPr>
          <w:rFonts w:eastAsia="Arial"/>
          <w:bCs/>
          <w:lang w:val="fr-CA"/>
        </w:rPr>
        <w:tab/>
        <w:t>Le capteur fournira une activation secondaire au besoin pour les entrées de porte à interrupteur-poussoir.</w:t>
      </w:r>
    </w:p>
    <w:p w:rsidR="007C7C64" w:rsidRPr="005D6E2D" w:rsidRDefault="005D6E2D" w:rsidP="009C5A87">
      <w:pPr>
        <w:pStyle w:val="PR4"/>
        <w:numPr>
          <w:ilvl w:val="0"/>
          <w:numId w:val="0"/>
        </w:numPr>
        <w:tabs>
          <w:tab w:val="clear" w:pos="2160"/>
          <w:tab w:val="left" w:pos="2520"/>
        </w:tabs>
        <w:ind w:left="2520" w:hanging="540"/>
        <w:rPr>
          <w:lang w:val="fr-CA"/>
        </w:rPr>
      </w:pPr>
      <w:r>
        <w:rPr>
          <w:rFonts w:eastAsia="Arial"/>
          <w:bCs/>
          <w:lang w:val="fr-CA"/>
        </w:rPr>
        <w:lastRenderedPageBreak/>
        <w:t xml:space="preserve">3) </w:t>
      </w:r>
      <w:r>
        <w:rPr>
          <w:rFonts w:eastAsia="Arial"/>
          <w:bCs/>
          <w:lang w:val="fr-CA"/>
        </w:rPr>
        <w:tab/>
      </w:r>
      <w:r>
        <w:rPr>
          <w:rFonts w:eastAsia="Arial"/>
          <w:bCs/>
          <w:lang w:val="fr-CA"/>
        </w:rPr>
        <w:tab/>
        <w:t xml:space="preserve">Les </w:t>
      </w:r>
      <w:r w:rsidR="00CC1386">
        <w:rPr>
          <w:rFonts w:eastAsia="Arial"/>
          <w:bCs/>
          <w:lang w:val="fr-CA"/>
        </w:rPr>
        <w:t>capteurs doivent être installés sur place et ajustés conformément aux normes de sécurité applicables.</w:t>
      </w:r>
    </w:p>
    <w:p w:rsidR="007C7C64" w:rsidRPr="005D6E2D" w:rsidRDefault="00CC1386" w:rsidP="007C7C64">
      <w:pPr>
        <w:pStyle w:val="PR3"/>
        <w:numPr>
          <w:ilvl w:val="0"/>
          <w:numId w:val="0"/>
        </w:numPr>
        <w:ind w:left="2016" w:hanging="576"/>
        <w:rPr>
          <w:b/>
          <w:lang w:val="fr-CA"/>
        </w:rPr>
      </w:pPr>
      <w:r>
        <w:rPr>
          <w:rFonts w:eastAsia="Arial"/>
          <w:b/>
          <w:bCs/>
          <w:lang w:val="fr-CA"/>
        </w:rPr>
        <w:t>b.</w:t>
      </w:r>
      <w:r>
        <w:rPr>
          <w:rFonts w:eastAsia="Arial"/>
          <w:b/>
          <w:bCs/>
          <w:lang w:val="fr-CA"/>
        </w:rPr>
        <w:tab/>
        <w:t xml:space="preserve">Le système réactivera une porte qui se ferme, arrêtera ou bloquera une porte qui s’ouvre, gardera une porte fermée </w:t>
      </w:r>
      <w:proofErr w:type="spellStart"/>
      <w:r>
        <w:rPr>
          <w:rFonts w:eastAsia="Arial"/>
          <w:b/>
          <w:bCs/>
          <w:lang w:val="fr-CA"/>
        </w:rPr>
        <w:t>fermée</w:t>
      </w:r>
      <w:proofErr w:type="spellEnd"/>
      <w:r>
        <w:rPr>
          <w:rFonts w:eastAsia="Arial"/>
          <w:b/>
          <w:bCs/>
          <w:lang w:val="fr-CA"/>
        </w:rPr>
        <w:t xml:space="preserve"> et gardera une porte ouverte </w:t>
      </w:r>
      <w:proofErr w:type="spellStart"/>
      <w:r>
        <w:rPr>
          <w:rFonts w:eastAsia="Arial"/>
          <w:b/>
          <w:bCs/>
          <w:lang w:val="fr-CA"/>
        </w:rPr>
        <w:t>ouverte</w:t>
      </w:r>
      <w:proofErr w:type="spellEnd"/>
      <w:r>
        <w:rPr>
          <w:rFonts w:eastAsia="Arial"/>
          <w:b/>
          <w:bCs/>
          <w:lang w:val="fr-CA"/>
        </w:rPr>
        <w:t xml:space="preserve"> si une personne se trouve dans la zone de détection des capteurs.</w:t>
      </w:r>
    </w:p>
    <w:p w:rsidR="00856D02" w:rsidRPr="00AB4664" w:rsidRDefault="00CC1386" w:rsidP="002B764B">
      <w:pPr>
        <w:pStyle w:val="ART"/>
        <w:numPr>
          <w:ilvl w:val="3"/>
          <w:numId w:val="31"/>
        </w:numPr>
        <w:spacing w:before="480"/>
      </w:pPr>
      <w:r>
        <w:rPr>
          <w:rFonts w:eastAsia="Arial"/>
          <w:lang w:val="fr-CA"/>
        </w:rPr>
        <w:t xml:space="preserve">ÉLECTRICITÉ </w:t>
      </w:r>
    </w:p>
    <w:p w:rsidR="00856D02" w:rsidRPr="00AB4664" w:rsidRDefault="00CC1386" w:rsidP="002B764B">
      <w:pPr>
        <w:pStyle w:val="PR1"/>
        <w:numPr>
          <w:ilvl w:val="4"/>
          <w:numId w:val="31"/>
        </w:numPr>
      </w:pPr>
      <w:r>
        <w:rPr>
          <w:rFonts w:eastAsia="Arial"/>
          <w:lang w:val="fr-CA"/>
        </w:rPr>
        <w:t>Alimentation électrique 115 V c.a. +/- 10 % 50/60 Hz 6,6 A max.</w:t>
      </w:r>
    </w:p>
    <w:p w:rsidR="00856D02" w:rsidRPr="00AB4664" w:rsidRDefault="00CC1386" w:rsidP="002B764B">
      <w:pPr>
        <w:pStyle w:val="ART"/>
        <w:numPr>
          <w:ilvl w:val="3"/>
          <w:numId w:val="31"/>
        </w:numPr>
        <w:spacing w:before="480"/>
      </w:pPr>
      <w:r>
        <w:rPr>
          <w:rFonts w:eastAsia="Arial"/>
          <w:lang w:val="fr-CA"/>
        </w:rPr>
        <w:t>FINIS EN ALUMINIUM</w:t>
      </w:r>
    </w:p>
    <w:p w:rsidR="00856D02" w:rsidRPr="00AB4664" w:rsidRDefault="00CC1386" w:rsidP="002B764B">
      <w:pPr>
        <w:pStyle w:val="PR1"/>
        <w:numPr>
          <w:ilvl w:val="4"/>
          <w:numId w:val="31"/>
        </w:numPr>
      </w:pPr>
      <w:r>
        <w:rPr>
          <w:rFonts w:eastAsia="Arial"/>
          <w:lang w:val="fr-CA"/>
        </w:rPr>
        <w:t>Conformes aux recommandations de « </w:t>
      </w:r>
      <w:proofErr w:type="spellStart"/>
      <w:r>
        <w:rPr>
          <w:rFonts w:eastAsia="Arial"/>
          <w:lang w:val="fr-CA"/>
        </w:rPr>
        <w:t>Metal</w:t>
      </w:r>
      <w:proofErr w:type="spellEnd"/>
      <w:r>
        <w:rPr>
          <w:rFonts w:eastAsia="Arial"/>
          <w:lang w:val="fr-CA"/>
        </w:rPr>
        <w:t xml:space="preserve"> </w:t>
      </w:r>
      <w:proofErr w:type="spellStart"/>
      <w:r>
        <w:rPr>
          <w:rFonts w:eastAsia="Arial"/>
          <w:lang w:val="fr-CA"/>
        </w:rPr>
        <w:t>Finishes</w:t>
      </w:r>
      <w:proofErr w:type="spellEnd"/>
      <w:r>
        <w:rPr>
          <w:rFonts w:eastAsia="Arial"/>
          <w:lang w:val="fr-CA"/>
        </w:rPr>
        <w:t xml:space="preserve"> </w:t>
      </w:r>
      <w:proofErr w:type="spellStart"/>
      <w:r>
        <w:rPr>
          <w:rFonts w:eastAsia="Arial"/>
          <w:lang w:val="fr-CA"/>
        </w:rPr>
        <w:t>Manual</w:t>
      </w:r>
      <w:proofErr w:type="spellEnd"/>
      <w:r>
        <w:rPr>
          <w:rFonts w:eastAsia="Arial"/>
          <w:lang w:val="fr-CA"/>
        </w:rPr>
        <w:t xml:space="preserve"> for Architectural and </w:t>
      </w:r>
      <w:proofErr w:type="spellStart"/>
      <w:r>
        <w:rPr>
          <w:rFonts w:eastAsia="Arial"/>
          <w:lang w:val="fr-CA"/>
        </w:rPr>
        <w:t>Metal</w:t>
      </w:r>
      <w:proofErr w:type="spellEnd"/>
      <w:r>
        <w:rPr>
          <w:rFonts w:eastAsia="Arial"/>
          <w:lang w:val="fr-CA"/>
        </w:rPr>
        <w:t xml:space="preserve"> </w:t>
      </w:r>
      <w:proofErr w:type="spellStart"/>
      <w:r>
        <w:rPr>
          <w:rFonts w:eastAsia="Arial"/>
          <w:lang w:val="fr-CA"/>
        </w:rPr>
        <w:t>Products</w:t>
      </w:r>
      <w:proofErr w:type="spellEnd"/>
      <w:r>
        <w:rPr>
          <w:rFonts w:eastAsia="Arial"/>
          <w:lang w:val="fr-CA"/>
        </w:rPr>
        <w:t> » de la NAAMM pour les applications et la désignation des finis.</w:t>
      </w:r>
    </w:p>
    <w:p w:rsidR="00856D02" w:rsidRPr="00AB4664" w:rsidRDefault="00CC1386" w:rsidP="002B764B">
      <w:pPr>
        <w:pStyle w:val="PR1"/>
        <w:numPr>
          <w:ilvl w:val="4"/>
          <w:numId w:val="31"/>
        </w:numPr>
      </w:pPr>
      <w:r>
        <w:rPr>
          <w:rFonts w:eastAsia="Arial"/>
          <w:lang w:val="fr-CA"/>
        </w:rPr>
        <w:t>Fini anodisé :</w:t>
      </w:r>
    </w:p>
    <w:p w:rsidR="00CF11E6" w:rsidRPr="00CF11E6" w:rsidRDefault="00CC1386" w:rsidP="002B764B">
      <w:pPr>
        <w:pStyle w:val="PR2"/>
        <w:numPr>
          <w:ilvl w:val="5"/>
          <w:numId w:val="31"/>
        </w:numPr>
        <w:jc w:val="left"/>
      </w:pPr>
      <w:bookmarkStart w:id="5" w:name="_Hlk496101401"/>
      <w:r>
        <w:rPr>
          <w:rFonts w:eastAsia="Arial"/>
          <w:lang w:val="fr-CA"/>
        </w:rPr>
        <w:t xml:space="preserve">Fini anodique transparent : AAMA 611, AA-M12C22A31, Classe II, 0,010 </w:t>
      </w:r>
      <w:proofErr w:type="spellStart"/>
      <w:r>
        <w:rPr>
          <w:rFonts w:eastAsia="Arial"/>
          <w:lang w:val="fr-CA"/>
        </w:rPr>
        <w:t>mm.</w:t>
      </w:r>
      <w:proofErr w:type="spellEnd"/>
    </w:p>
    <w:p w:rsidR="007D3F85" w:rsidRPr="00CF11E6" w:rsidRDefault="00CC1386" w:rsidP="002B764B">
      <w:pPr>
        <w:pStyle w:val="PR2"/>
        <w:numPr>
          <w:ilvl w:val="5"/>
          <w:numId w:val="31"/>
        </w:numPr>
        <w:rPr>
          <w:b/>
        </w:rPr>
      </w:pPr>
      <w:r w:rsidRPr="005D6E2D">
        <w:rPr>
          <w:rFonts w:eastAsia="Arial"/>
          <w:b/>
          <w:bCs/>
          <w:lang w:val="pt-PT"/>
        </w:rPr>
        <w:t>[Fini anodique transparent : AAMA 611, AA-M12C22A31, Classe I, 0,018 mm</w:t>
      </w:r>
      <w:bookmarkEnd w:id="5"/>
      <w:r w:rsidRPr="005D6E2D">
        <w:rPr>
          <w:rFonts w:eastAsia="Arial"/>
          <w:b/>
          <w:bCs/>
          <w:lang w:val="pt-PT"/>
        </w:rPr>
        <w:t>]</w:t>
      </w:r>
    </w:p>
    <w:p w:rsidR="00856D02" w:rsidRPr="00AB4664" w:rsidRDefault="00CC1386" w:rsidP="002B764B">
      <w:pPr>
        <w:pStyle w:val="PR2"/>
        <w:numPr>
          <w:ilvl w:val="5"/>
          <w:numId w:val="31"/>
        </w:numPr>
        <w:jc w:val="left"/>
        <w:rPr>
          <w:b/>
        </w:rPr>
      </w:pPr>
      <w:r w:rsidRPr="00B82A39">
        <w:rPr>
          <w:rFonts w:eastAsia="Arial"/>
          <w:b/>
          <w:bCs/>
          <w:lang w:val="it-IT"/>
        </w:rPr>
        <w:t>[Fini anodique bronze foncé :  AAMA 611, AA-M12C22A44, Classe I, 0,018 mm].</w:t>
      </w:r>
    </w:p>
    <w:p w:rsidR="00856D02" w:rsidRPr="00AB4664" w:rsidRDefault="00CC1386" w:rsidP="002B764B">
      <w:pPr>
        <w:pStyle w:val="PR2"/>
        <w:numPr>
          <w:ilvl w:val="5"/>
          <w:numId w:val="31"/>
        </w:numPr>
        <w:jc w:val="left"/>
        <w:rPr>
          <w:b/>
        </w:rPr>
      </w:pPr>
      <w:r>
        <w:rPr>
          <w:rFonts w:eastAsia="Arial"/>
          <w:b/>
          <w:bCs/>
          <w:lang w:val="fr-CA"/>
        </w:rPr>
        <w:t>[Fini anodique de couleur : AAMA 611, AA-M12C22A44, Classe I, 0,018 mm]. [</w:t>
      </w:r>
      <w:r w:rsidR="005D6E2D">
        <w:rPr>
          <w:rFonts w:eastAsia="Arial"/>
          <w:b/>
          <w:bCs/>
          <w:lang w:val="fr-CA"/>
        </w:rPr>
        <w:t>Correspondant à</w:t>
      </w:r>
      <w:r>
        <w:rPr>
          <w:rFonts w:eastAsia="Arial"/>
          <w:b/>
          <w:bCs/>
          <w:lang w:val="fr-CA"/>
        </w:rPr>
        <w:t xml:space="preserve"> l’échantillon de l’architecte]</w:t>
      </w:r>
    </w:p>
    <w:p w:rsidR="00513378" w:rsidRPr="00AB4664" w:rsidRDefault="00513378" w:rsidP="00513378">
      <w:pPr>
        <w:pStyle w:val="PR2"/>
        <w:numPr>
          <w:ilvl w:val="0"/>
          <w:numId w:val="0"/>
        </w:numPr>
        <w:tabs>
          <w:tab w:val="clear" w:pos="1440"/>
        </w:tabs>
        <w:ind w:left="1440"/>
        <w:jc w:val="left"/>
        <w:rPr>
          <w:b/>
        </w:rPr>
      </w:pPr>
    </w:p>
    <w:p w:rsidR="00856D02" w:rsidRPr="00AB4664" w:rsidRDefault="00CC1386" w:rsidP="002B764B">
      <w:pPr>
        <w:pStyle w:val="PR1"/>
        <w:numPr>
          <w:ilvl w:val="4"/>
          <w:numId w:val="31"/>
        </w:numPr>
      </w:pPr>
      <w:r>
        <w:rPr>
          <w:rFonts w:eastAsia="Arial"/>
          <w:lang w:val="fr-CA"/>
        </w:rPr>
        <w:t>Fini peint :</w:t>
      </w:r>
    </w:p>
    <w:p w:rsidR="00856D02" w:rsidRPr="00AB4664" w:rsidRDefault="00CC1386" w:rsidP="002B764B">
      <w:pPr>
        <w:pStyle w:val="PR2"/>
        <w:numPr>
          <w:ilvl w:val="5"/>
          <w:numId w:val="31"/>
        </w:numPr>
        <w:rPr>
          <w:b/>
        </w:rPr>
      </w:pPr>
      <w:r>
        <w:rPr>
          <w:rFonts w:eastAsia="Arial"/>
          <w:b/>
          <w:bCs/>
          <w:lang w:val="fr-CA"/>
        </w:rPr>
        <w:t xml:space="preserve">[Couche </w:t>
      </w:r>
      <w:proofErr w:type="spellStart"/>
      <w:r>
        <w:rPr>
          <w:rFonts w:eastAsia="Arial"/>
          <w:b/>
          <w:bCs/>
          <w:lang w:val="fr-CA"/>
        </w:rPr>
        <w:t>thermolaquée</w:t>
      </w:r>
      <w:proofErr w:type="spellEnd"/>
      <w:r>
        <w:rPr>
          <w:rFonts w:eastAsia="Arial"/>
          <w:b/>
          <w:bCs/>
          <w:lang w:val="fr-CA"/>
        </w:rPr>
        <w:t xml:space="preserve"> peinte correspondant à l'échantillon de l’architecte] [Couleurs standards du fabricant]</w:t>
      </w:r>
    </w:p>
    <w:p w:rsidR="00856D02" w:rsidRPr="00AB4664" w:rsidRDefault="00CC1386" w:rsidP="002B764B">
      <w:pPr>
        <w:pStyle w:val="PR2"/>
        <w:numPr>
          <w:ilvl w:val="5"/>
          <w:numId w:val="31"/>
        </w:numPr>
        <w:rPr>
          <w:b/>
        </w:rPr>
      </w:pPr>
      <w:r>
        <w:rPr>
          <w:rFonts w:eastAsia="Arial"/>
          <w:b/>
          <w:bCs/>
          <w:lang w:val="fr-CA"/>
        </w:rPr>
        <w:t xml:space="preserve">Fini de peinture </w:t>
      </w:r>
      <w:proofErr w:type="spellStart"/>
      <w:r>
        <w:rPr>
          <w:rFonts w:eastAsia="Arial"/>
          <w:b/>
          <w:bCs/>
          <w:lang w:val="fr-CA"/>
        </w:rPr>
        <w:t>Kynar</w:t>
      </w:r>
      <w:proofErr w:type="spellEnd"/>
      <w:r>
        <w:rPr>
          <w:rFonts w:eastAsia="Arial"/>
          <w:b/>
          <w:bCs/>
          <w:lang w:val="fr-CA"/>
        </w:rPr>
        <w:t xml:space="preserve"> avec garantie de fini de 20 ans p</w:t>
      </w:r>
      <w:r w:rsidR="005D6E2D">
        <w:rPr>
          <w:rFonts w:eastAsia="Arial"/>
          <w:b/>
          <w:bCs/>
          <w:lang w:val="fr-CA"/>
        </w:rPr>
        <w:t>ar le finisseur, [2 couches] [3 </w:t>
      </w:r>
      <w:r>
        <w:rPr>
          <w:rFonts w:eastAsia="Arial"/>
          <w:b/>
          <w:bCs/>
          <w:lang w:val="fr-CA"/>
        </w:rPr>
        <w:t>couches] [</w:t>
      </w:r>
      <w:r w:rsidR="005D6E2D">
        <w:rPr>
          <w:rFonts w:eastAsia="Arial"/>
          <w:b/>
          <w:bCs/>
          <w:lang w:val="fr-CA"/>
        </w:rPr>
        <w:t>C</w:t>
      </w:r>
      <w:r>
        <w:rPr>
          <w:rFonts w:eastAsia="Arial"/>
          <w:b/>
          <w:bCs/>
          <w:lang w:val="fr-CA"/>
        </w:rPr>
        <w:t>orrespondant à l'échantillon de l’architecte]</w:t>
      </w:r>
    </w:p>
    <w:p w:rsidR="00856D02" w:rsidRPr="00AB4664" w:rsidRDefault="00CC1386" w:rsidP="002B764B">
      <w:pPr>
        <w:pStyle w:val="PR1"/>
        <w:numPr>
          <w:ilvl w:val="4"/>
          <w:numId w:val="31"/>
        </w:numPr>
      </w:pPr>
      <w:r>
        <w:rPr>
          <w:rFonts w:eastAsia="Arial"/>
          <w:lang w:val="fr-CA"/>
        </w:rPr>
        <w:t xml:space="preserve">Fini de recouvrement : Le recouvrement doit être fini en usine dans les installations du fabricant à l’aide d’une surface de panneau </w:t>
      </w:r>
      <w:r>
        <w:rPr>
          <w:rFonts w:eastAsia="Arial"/>
          <w:b/>
          <w:bCs/>
          <w:lang w:val="fr-CA"/>
        </w:rPr>
        <w:t>de revêtement métallique</w:t>
      </w:r>
      <w:r>
        <w:rPr>
          <w:rFonts w:eastAsia="Arial"/>
          <w:lang w:val="fr-CA"/>
        </w:rPr>
        <w:t xml:space="preserve"> de 0,36 po d’épaisseur utilisant du ruban </w:t>
      </w:r>
      <w:proofErr w:type="spellStart"/>
      <w:r>
        <w:rPr>
          <w:rFonts w:eastAsia="Arial"/>
          <w:lang w:val="fr-CA"/>
        </w:rPr>
        <w:t>tesa</w:t>
      </w:r>
      <w:proofErr w:type="spellEnd"/>
      <w:r>
        <w:rPr>
          <w:rFonts w:eastAsia="Arial"/>
          <w:lang w:val="fr-CA"/>
        </w:rPr>
        <w:t xml:space="preserve">® 4965. Résistant à la chaleur et à l’humidité, le ruban adhésif spécialisé est composé d’un endos en polyester revêtu des deux côtés avec un adhésif acrylique modifié transparent et une résistance à la traction de 20 N/cm. </w:t>
      </w:r>
      <w:proofErr w:type="spellStart"/>
      <w:r>
        <w:rPr>
          <w:rFonts w:eastAsia="Arial"/>
          <w:lang w:val="fr-CA"/>
        </w:rPr>
        <w:t>tesa</w:t>
      </w:r>
      <w:proofErr w:type="spellEnd"/>
      <w:r>
        <w:rPr>
          <w:rFonts w:eastAsia="Arial"/>
          <w:lang w:val="fr-CA"/>
        </w:rPr>
        <w:t>® 4965 est reconnu selon la norme UL 969. Fichier UL : MH 18055.</w:t>
      </w:r>
    </w:p>
    <w:p w:rsidR="00856D02" w:rsidRPr="00AB4664" w:rsidRDefault="00CC1386" w:rsidP="002B764B">
      <w:pPr>
        <w:pStyle w:val="PR2"/>
        <w:numPr>
          <w:ilvl w:val="5"/>
          <w:numId w:val="31"/>
        </w:numPr>
        <w:rPr>
          <w:b/>
        </w:rPr>
      </w:pPr>
      <w:r>
        <w:rPr>
          <w:rFonts w:eastAsia="Arial"/>
          <w:b/>
          <w:bCs/>
          <w:lang w:val="fr-CA"/>
        </w:rPr>
        <w:t>[Acier inoxydable avec fini satiné no 4]</w:t>
      </w:r>
    </w:p>
    <w:p w:rsidR="00856D02" w:rsidRPr="00AB4664" w:rsidRDefault="00CC1386" w:rsidP="002B764B">
      <w:pPr>
        <w:pStyle w:val="PR2"/>
        <w:numPr>
          <w:ilvl w:val="5"/>
          <w:numId w:val="31"/>
        </w:numPr>
        <w:rPr>
          <w:b/>
        </w:rPr>
      </w:pPr>
      <w:r>
        <w:rPr>
          <w:rFonts w:eastAsia="Arial"/>
          <w:b/>
          <w:bCs/>
          <w:lang w:val="fr-CA"/>
        </w:rPr>
        <w:t>[Acier inoxydable avec fini effet miroir no 8]</w:t>
      </w:r>
    </w:p>
    <w:p w:rsidR="00856D02" w:rsidRPr="00AB4664" w:rsidRDefault="00CC1386" w:rsidP="002B764B">
      <w:pPr>
        <w:pStyle w:val="PR2"/>
        <w:numPr>
          <w:ilvl w:val="5"/>
          <w:numId w:val="31"/>
        </w:numPr>
        <w:rPr>
          <w:b/>
        </w:rPr>
      </w:pPr>
      <w:r>
        <w:rPr>
          <w:rFonts w:eastAsia="Arial"/>
          <w:b/>
          <w:bCs/>
          <w:lang w:val="fr-CA"/>
        </w:rPr>
        <w:t>[Bronze avec fini satiné]</w:t>
      </w:r>
    </w:p>
    <w:p w:rsidR="00856D02" w:rsidRPr="00AB4664" w:rsidRDefault="00CC1386" w:rsidP="002B764B">
      <w:pPr>
        <w:pStyle w:val="PR2"/>
        <w:numPr>
          <w:ilvl w:val="5"/>
          <w:numId w:val="31"/>
        </w:numPr>
        <w:rPr>
          <w:b/>
        </w:rPr>
      </w:pPr>
      <w:r>
        <w:rPr>
          <w:rFonts w:eastAsia="Arial"/>
          <w:b/>
          <w:bCs/>
          <w:lang w:val="fr-CA"/>
        </w:rPr>
        <w:t>[Bronze avec fini poli non directionnel]</w:t>
      </w:r>
    </w:p>
    <w:p w:rsidR="00856D02" w:rsidRPr="00AB4664" w:rsidRDefault="00CC1386" w:rsidP="002B764B">
      <w:pPr>
        <w:pStyle w:val="PR2"/>
        <w:numPr>
          <w:ilvl w:val="5"/>
          <w:numId w:val="31"/>
        </w:numPr>
        <w:rPr>
          <w:b/>
        </w:rPr>
      </w:pPr>
      <w:r>
        <w:rPr>
          <w:rFonts w:eastAsia="Arial"/>
          <w:b/>
          <w:bCs/>
          <w:lang w:val="fr-CA"/>
        </w:rPr>
        <w:t>[Laiton avec fini satiné]</w:t>
      </w:r>
    </w:p>
    <w:p w:rsidR="00856D02" w:rsidRPr="00AB4664" w:rsidRDefault="00CC1386" w:rsidP="002B764B">
      <w:pPr>
        <w:pStyle w:val="PR2"/>
        <w:numPr>
          <w:ilvl w:val="5"/>
          <w:numId w:val="31"/>
        </w:numPr>
        <w:rPr>
          <w:b/>
        </w:rPr>
      </w:pPr>
      <w:r>
        <w:rPr>
          <w:rFonts w:eastAsia="Arial"/>
          <w:b/>
          <w:bCs/>
          <w:lang w:val="fr-CA"/>
        </w:rPr>
        <w:t>[Laiton avec fini poli non directionnel]</w:t>
      </w:r>
    </w:p>
    <w:p w:rsidR="00167E3B" w:rsidRPr="005D6E2D" w:rsidRDefault="00CC1386" w:rsidP="00167E3B">
      <w:pPr>
        <w:pStyle w:val="PR2"/>
        <w:numPr>
          <w:ilvl w:val="0"/>
          <w:numId w:val="0"/>
        </w:numPr>
        <w:ind w:left="1440"/>
        <w:rPr>
          <w:b/>
          <w:lang w:val="fr-CA"/>
        </w:rPr>
      </w:pPr>
      <w:r>
        <w:rPr>
          <w:rFonts w:eastAsia="Arial"/>
          <w:b/>
          <w:bCs/>
          <w:lang w:val="fr-CA"/>
        </w:rPr>
        <w:t>1705</w:t>
      </w:r>
    </w:p>
    <w:p w:rsidR="00A71F81" w:rsidRPr="005D6E2D" w:rsidRDefault="00A71F81" w:rsidP="00167E3B">
      <w:pPr>
        <w:pStyle w:val="PR2"/>
        <w:numPr>
          <w:ilvl w:val="0"/>
          <w:numId w:val="0"/>
        </w:numPr>
        <w:ind w:left="1440"/>
        <w:rPr>
          <w:b/>
          <w:lang w:val="fr-CA"/>
        </w:rPr>
      </w:pPr>
    </w:p>
    <w:p w:rsidR="00856D02" w:rsidRPr="005D6E2D" w:rsidRDefault="00CC1386" w:rsidP="00167E3B">
      <w:pPr>
        <w:pStyle w:val="CMTGreen"/>
        <w:rPr>
          <w:lang w:val="fr-CA"/>
        </w:rPr>
      </w:pPr>
      <w:r>
        <w:rPr>
          <w:rFonts w:eastAsia="Arial"/>
          <w:szCs w:val="18"/>
          <w:lang w:val="fr-CA"/>
        </w:rPr>
        <w:t>Communiquer avec le centre SPEC NOW pour obtenir des options de fini sur mesure supplémentaires.</w:t>
      </w:r>
    </w:p>
    <w:p w:rsidR="005D6E2D" w:rsidRDefault="005D6E2D" w:rsidP="00AE7737">
      <w:pPr>
        <w:pStyle w:val="PRT"/>
        <w:rPr>
          <w:rFonts w:eastAsia="Arial"/>
          <w:lang w:val="fr-CA"/>
        </w:rPr>
      </w:pPr>
    </w:p>
    <w:p w:rsidR="00C62BB6" w:rsidRPr="00B82A39" w:rsidRDefault="00CC1386" w:rsidP="00B82A39">
      <w:pPr>
        <w:pStyle w:val="PR1"/>
        <w:numPr>
          <w:ilvl w:val="0"/>
          <w:numId w:val="31"/>
        </w:numPr>
        <w:spacing w:before="480"/>
        <w:rPr>
          <w:rFonts w:eastAsia="Arial"/>
          <w:lang w:val="fr-CA"/>
        </w:rPr>
      </w:pPr>
      <w:r>
        <w:rPr>
          <w:rFonts w:eastAsia="Arial"/>
          <w:lang w:val="fr-CA"/>
        </w:rPr>
        <w:t>EXÉCUTION</w:t>
      </w:r>
    </w:p>
    <w:p w:rsidR="006327F3" w:rsidRPr="00AB4664" w:rsidRDefault="00CC1386" w:rsidP="006327F3">
      <w:pPr>
        <w:pStyle w:val="ART"/>
        <w:numPr>
          <w:ilvl w:val="3"/>
          <w:numId w:val="29"/>
        </w:numPr>
        <w:tabs>
          <w:tab w:val="num" w:pos="864"/>
        </w:tabs>
        <w:spacing w:before="480"/>
      </w:pPr>
      <w:bookmarkStart w:id="6" w:name="_GoBack"/>
      <w:bookmarkEnd w:id="6"/>
      <w:r>
        <w:rPr>
          <w:rFonts w:eastAsia="Arial"/>
          <w:lang w:val="fr-CA"/>
        </w:rPr>
        <w:t>EXAMEN</w:t>
      </w:r>
    </w:p>
    <w:p w:rsidR="006327F3" w:rsidRPr="00AB4664" w:rsidRDefault="00CC1386" w:rsidP="006327F3">
      <w:pPr>
        <w:pStyle w:val="PR1"/>
        <w:numPr>
          <w:ilvl w:val="4"/>
          <w:numId w:val="29"/>
        </w:numPr>
        <w:tabs>
          <w:tab w:val="num" w:pos="864"/>
        </w:tabs>
      </w:pPr>
      <w:r>
        <w:rPr>
          <w:rFonts w:eastAsia="Arial"/>
          <w:lang w:val="fr-CA"/>
        </w:rPr>
        <w:t xml:space="preserve">Examiner les portes et les cadres en présence de l’installateur pour s’assurer de la conformité aux exigences en matière de tolérances d’installation, de construction de murs et de planchers et d’autres conditions affectant la performance des entrées automatiques. </w:t>
      </w:r>
    </w:p>
    <w:p w:rsidR="006327F3" w:rsidRPr="00AB4664" w:rsidRDefault="00CC1386" w:rsidP="006327F3">
      <w:pPr>
        <w:pStyle w:val="PR1"/>
        <w:numPr>
          <w:ilvl w:val="4"/>
          <w:numId w:val="29"/>
        </w:numPr>
        <w:tabs>
          <w:tab w:val="num" w:pos="864"/>
        </w:tabs>
      </w:pPr>
      <w:r>
        <w:rPr>
          <w:rFonts w:eastAsia="Arial"/>
          <w:lang w:val="fr-CA"/>
        </w:rPr>
        <w:t xml:space="preserve">Examiner </w:t>
      </w:r>
      <w:proofErr w:type="spellStart"/>
      <w:r>
        <w:rPr>
          <w:rFonts w:eastAsia="Arial"/>
          <w:lang w:val="fr-CA"/>
        </w:rPr>
        <w:t>la</w:t>
      </w:r>
      <w:proofErr w:type="spellEnd"/>
      <w:r>
        <w:rPr>
          <w:rFonts w:eastAsia="Arial"/>
          <w:lang w:val="fr-CA"/>
        </w:rPr>
        <w:t xml:space="preserve"> l’alimentation électrique préliminaire afin de vérifier les emplacements réels des connexions de câblage.</w:t>
      </w:r>
    </w:p>
    <w:p w:rsidR="006327F3" w:rsidRPr="00AB4664" w:rsidRDefault="00CC1386" w:rsidP="006327F3">
      <w:pPr>
        <w:pStyle w:val="PR1"/>
        <w:numPr>
          <w:ilvl w:val="4"/>
          <w:numId w:val="29"/>
        </w:numPr>
        <w:tabs>
          <w:tab w:val="num" w:pos="864"/>
        </w:tabs>
      </w:pPr>
      <w:r>
        <w:rPr>
          <w:rFonts w:eastAsia="Arial"/>
          <w:lang w:val="fr-CA"/>
        </w:rPr>
        <w:t>Procéder à l’installation seulement après que les conditions insatisfaisantes ont été corrigées.</w:t>
      </w:r>
    </w:p>
    <w:p w:rsidR="006327F3" w:rsidRPr="00AB4664" w:rsidRDefault="00CC1386" w:rsidP="002B764B">
      <w:pPr>
        <w:pStyle w:val="ART"/>
        <w:numPr>
          <w:ilvl w:val="3"/>
          <w:numId w:val="31"/>
        </w:numPr>
        <w:spacing w:before="480"/>
      </w:pPr>
      <w:r>
        <w:rPr>
          <w:rFonts w:eastAsia="Arial"/>
          <w:lang w:val="fr-CA"/>
        </w:rPr>
        <w:t>INSTALLATION</w:t>
      </w:r>
    </w:p>
    <w:p w:rsidR="006327F3" w:rsidRPr="00AB4664" w:rsidRDefault="00CC1386" w:rsidP="002B764B">
      <w:pPr>
        <w:pStyle w:val="PR1"/>
        <w:numPr>
          <w:ilvl w:val="4"/>
          <w:numId w:val="31"/>
        </w:numPr>
      </w:pPr>
      <w:r>
        <w:rPr>
          <w:rFonts w:eastAsia="Arial"/>
          <w:lang w:val="fr-CA"/>
        </w:rPr>
        <w:t xml:space="preserve">Généralités :  Ne pas installer pas de composants endommagés.  Adapter les joints du cadre pour produire des joints capillaires exempts de bavures et de distorsion.  Fixer solidement les joints non mobiles. </w:t>
      </w:r>
    </w:p>
    <w:p w:rsidR="006327F3" w:rsidRPr="00AB4664" w:rsidRDefault="00CC1386" w:rsidP="002B764B">
      <w:pPr>
        <w:pStyle w:val="PR1"/>
        <w:numPr>
          <w:ilvl w:val="4"/>
          <w:numId w:val="31"/>
        </w:numPr>
      </w:pPr>
      <w:r>
        <w:rPr>
          <w:rFonts w:eastAsia="Arial"/>
          <w:lang w:val="fr-CA"/>
        </w:rPr>
        <w:t>Entrées :  Installer les entrées automatiques d'aplomb et en alignement avec les lignes et les niveaux établis, sans gauchissement ni crémaillère des éléments d'ossature et des portes.  Les ancrer solidement en place.</w:t>
      </w:r>
    </w:p>
    <w:p w:rsidR="006327F3" w:rsidRPr="00AB4664" w:rsidRDefault="00CC1386" w:rsidP="002B764B">
      <w:pPr>
        <w:pStyle w:val="PR2"/>
        <w:numPr>
          <w:ilvl w:val="5"/>
          <w:numId w:val="31"/>
        </w:numPr>
      </w:pPr>
      <w:r>
        <w:rPr>
          <w:rFonts w:eastAsia="Arial"/>
          <w:lang w:val="fr-CA"/>
        </w:rPr>
        <w:t>Installer la quincaillerie montée en surface à l’aide d’attaches dissimulées dans la mesure du possible.</w:t>
      </w:r>
    </w:p>
    <w:p w:rsidR="006327F3" w:rsidRPr="00AB4664" w:rsidRDefault="00CC1386" w:rsidP="002B764B">
      <w:pPr>
        <w:pStyle w:val="PR2"/>
        <w:numPr>
          <w:ilvl w:val="5"/>
          <w:numId w:val="31"/>
        </w:numPr>
      </w:pPr>
      <w:r>
        <w:rPr>
          <w:rFonts w:eastAsia="Arial"/>
          <w:lang w:val="fr-CA"/>
        </w:rPr>
        <w:t>Régler les linteaux, les ensembles de support, les rails, les supports de fonctionnement et les guides à niveau et fidèles à l’emplacement avec un ancrage pour un support permanent.</w:t>
      </w:r>
    </w:p>
    <w:p w:rsidR="006327F3" w:rsidRPr="00AB4664" w:rsidRDefault="00CC1386" w:rsidP="002B764B">
      <w:pPr>
        <w:pStyle w:val="PR1"/>
        <w:numPr>
          <w:ilvl w:val="4"/>
          <w:numId w:val="31"/>
        </w:numPr>
      </w:pPr>
      <w:r>
        <w:rPr>
          <w:rFonts w:eastAsia="Arial"/>
          <w:lang w:val="fr-CA"/>
        </w:rPr>
        <w:t xml:space="preserve">Actionneurs de porte :  Connecter les actionneurs de porte au système de distribution électrique tel que spécifié dans les sections de la Division 26 </w:t>
      </w:r>
      <w:r>
        <w:rPr>
          <w:rFonts w:eastAsia="Arial"/>
          <w:b/>
          <w:bCs/>
          <w:lang w:val="fr-CA"/>
        </w:rPr>
        <w:t>[y compris le système d’évacuation de la fumée et/ou de détection d’incendie.]</w:t>
      </w:r>
      <w:r>
        <w:rPr>
          <w:rFonts w:eastAsia="Arial"/>
          <w:lang w:val="fr-CA"/>
        </w:rPr>
        <w:t xml:space="preserve"> </w:t>
      </w:r>
    </w:p>
    <w:p w:rsidR="006327F3" w:rsidRPr="00AB4664" w:rsidRDefault="00CC1386" w:rsidP="002B764B">
      <w:pPr>
        <w:pStyle w:val="PR1"/>
        <w:numPr>
          <w:ilvl w:val="4"/>
          <w:numId w:val="31"/>
        </w:numPr>
      </w:pPr>
      <w:proofErr w:type="spellStart"/>
      <w:r>
        <w:rPr>
          <w:rFonts w:eastAsia="Arial"/>
          <w:lang w:val="fr-CA"/>
        </w:rPr>
        <w:t>Scellants</w:t>
      </w:r>
      <w:proofErr w:type="spellEnd"/>
      <w:r>
        <w:rPr>
          <w:rFonts w:eastAsia="Arial"/>
          <w:lang w:val="fr-CA"/>
        </w:rPr>
        <w:t> :  Se conformer aux exigences spécifiées dans la section « </w:t>
      </w:r>
      <w:proofErr w:type="spellStart"/>
      <w:r>
        <w:rPr>
          <w:rFonts w:eastAsia="Arial"/>
          <w:lang w:val="fr-CA"/>
        </w:rPr>
        <w:t>Scellants</w:t>
      </w:r>
      <w:proofErr w:type="spellEnd"/>
      <w:r>
        <w:rPr>
          <w:rFonts w:eastAsia="Arial"/>
          <w:lang w:val="fr-CA"/>
        </w:rPr>
        <w:t xml:space="preserve"> pour joints » de la Division 07 pour assurer l’étanchéité entre le boîtier de l’actionneur et la surface du mur.</w:t>
      </w:r>
    </w:p>
    <w:p w:rsidR="006327F3" w:rsidRPr="00AB4664" w:rsidRDefault="00CC1386" w:rsidP="002B764B">
      <w:pPr>
        <w:pStyle w:val="PR1"/>
        <w:numPr>
          <w:ilvl w:val="4"/>
          <w:numId w:val="31"/>
        </w:numPr>
      </w:pPr>
      <w:r>
        <w:rPr>
          <w:rFonts w:eastAsia="Arial"/>
          <w:lang w:val="fr-CA"/>
        </w:rPr>
        <w:t>Signalisation : Installer une signalisation des deux côtés de chaque porte et de chaque panneau fixe, comme l’exige le standard ANSI/BHMA A 156.19</w:t>
      </w:r>
    </w:p>
    <w:p w:rsidR="006327F3" w:rsidRPr="005D6E2D" w:rsidRDefault="00CC1386" w:rsidP="002B764B">
      <w:pPr>
        <w:pStyle w:val="ART"/>
        <w:numPr>
          <w:ilvl w:val="3"/>
          <w:numId w:val="31"/>
        </w:numPr>
        <w:spacing w:before="480"/>
        <w:rPr>
          <w:lang w:val="fr-CA"/>
        </w:rPr>
      </w:pPr>
      <w:r>
        <w:rPr>
          <w:rFonts w:eastAsia="Arial"/>
          <w:lang w:val="fr-CA"/>
        </w:rPr>
        <w:t>CONTRÔLE DE LA QUALITÉ SUR LE TERRAIN</w:t>
      </w:r>
    </w:p>
    <w:p w:rsidR="006327F3" w:rsidRPr="00AB4664" w:rsidRDefault="00CC1386" w:rsidP="002B764B">
      <w:pPr>
        <w:pStyle w:val="PR1"/>
        <w:numPr>
          <w:ilvl w:val="4"/>
          <w:numId w:val="31"/>
        </w:numPr>
      </w:pPr>
      <w:r>
        <w:rPr>
          <w:rFonts w:eastAsia="Arial"/>
          <w:lang w:val="fr-CA"/>
        </w:rPr>
        <w:t xml:space="preserve">Le représentant du fabricant doit fournir une assistance technique et des conseils pour l’installation des portes automatiques.  </w:t>
      </w:r>
    </w:p>
    <w:p w:rsidR="006327F3" w:rsidRPr="00AB4664" w:rsidRDefault="00CC1386" w:rsidP="002B764B">
      <w:pPr>
        <w:pStyle w:val="PR2"/>
        <w:numPr>
          <w:ilvl w:val="5"/>
          <w:numId w:val="31"/>
        </w:numPr>
      </w:pPr>
      <w:r>
        <w:rPr>
          <w:rFonts w:eastAsia="Arial"/>
          <w:lang w:val="fr-CA"/>
        </w:rPr>
        <w:t>Un représentant formé en usine et certifié AAADM doit tester et inspecter chaque porte automatique pour déterminer la conformité du système installé au standard ANSI/BHMA A 156.19</w:t>
      </w:r>
    </w:p>
    <w:p w:rsidR="006327F3" w:rsidRPr="00AB4664" w:rsidRDefault="00CC1386" w:rsidP="002B764B">
      <w:pPr>
        <w:pStyle w:val="ART"/>
        <w:numPr>
          <w:ilvl w:val="3"/>
          <w:numId w:val="31"/>
        </w:numPr>
        <w:spacing w:before="480"/>
      </w:pPr>
      <w:r>
        <w:rPr>
          <w:rFonts w:eastAsia="Arial"/>
          <w:lang w:val="fr-CA"/>
        </w:rPr>
        <w:lastRenderedPageBreak/>
        <w:t>RÉGLAGE</w:t>
      </w:r>
    </w:p>
    <w:p w:rsidR="006327F3" w:rsidRPr="00AB4664" w:rsidRDefault="00CC1386" w:rsidP="002B764B">
      <w:pPr>
        <w:pStyle w:val="PR1"/>
        <w:numPr>
          <w:ilvl w:val="4"/>
          <w:numId w:val="31"/>
        </w:numPr>
      </w:pPr>
      <w:r>
        <w:rPr>
          <w:rFonts w:eastAsia="Arial"/>
          <w:lang w:val="fr-CA"/>
        </w:rPr>
        <w:t xml:space="preserve">Ajuster les actionneurs et les commandes de porte pour un fonctionnement en douceur et sécuritaire. </w:t>
      </w:r>
    </w:p>
    <w:p w:rsidR="006327F3" w:rsidRPr="00AB4664" w:rsidRDefault="00CC1386" w:rsidP="002B764B">
      <w:pPr>
        <w:pStyle w:val="ART"/>
        <w:numPr>
          <w:ilvl w:val="3"/>
          <w:numId w:val="31"/>
        </w:numPr>
        <w:spacing w:before="480"/>
      </w:pPr>
      <w:r>
        <w:rPr>
          <w:rFonts w:eastAsia="Arial"/>
          <w:lang w:val="fr-CA"/>
        </w:rPr>
        <w:t>NETTOYAGE ET PROTECTION</w:t>
      </w:r>
    </w:p>
    <w:p w:rsidR="006327F3" w:rsidRPr="00AB4664" w:rsidRDefault="00CC1386" w:rsidP="002B764B">
      <w:pPr>
        <w:pStyle w:val="PR1"/>
        <w:numPr>
          <w:ilvl w:val="4"/>
          <w:numId w:val="31"/>
        </w:numPr>
      </w:pPr>
      <w:r>
        <w:rPr>
          <w:rFonts w:eastAsia="Arial"/>
          <w:lang w:val="fr-CA"/>
        </w:rPr>
        <w:t>Nettoyer rapidement les surfaces adjacentes souillées par l’installation automatique par l’opérateur après l’installation.</w:t>
      </w:r>
    </w:p>
    <w:p w:rsidR="006327F3" w:rsidRPr="00AB4664" w:rsidRDefault="00CC1386" w:rsidP="002B764B">
      <w:pPr>
        <w:pStyle w:val="ART"/>
        <w:numPr>
          <w:ilvl w:val="3"/>
          <w:numId w:val="31"/>
        </w:numPr>
        <w:spacing w:before="480"/>
      </w:pPr>
      <w:r>
        <w:rPr>
          <w:rFonts w:eastAsia="Arial"/>
          <w:lang w:val="fr-CA"/>
        </w:rPr>
        <w:t>DÉMONSTRATION</w:t>
      </w:r>
    </w:p>
    <w:p w:rsidR="006327F3" w:rsidRPr="00AB4664" w:rsidRDefault="00CC1386" w:rsidP="002B764B">
      <w:pPr>
        <w:pStyle w:val="PR1"/>
        <w:numPr>
          <w:ilvl w:val="4"/>
          <w:numId w:val="31"/>
        </w:numPr>
      </w:pPr>
      <w:r>
        <w:rPr>
          <w:rFonts w:eastAsia="Arial"/>
          <w:lang w:val="fr-CA"/>
        </w:rPr>
        <w:t>Faire appel à un représentant autorisé par l’usine pour former le personnel d’entretien du propriétaire afin qu’il ajuste, utilise et maintienne le fonctionnement sécuritaire des entrées automatiques.</w:t>
      </w:r>
    </w:p>
    <w:p w:rsidR="006327F3" w:rsidRPr="006327F3" w:rsidRDefault="00CC1386" w:rsidP="00510902">
      <w:pPr>
        <w:pStyle w:val="EOS"/>
      </w:pPr>
      <w:r>
        <w:rPr>
          <w:rFonts w:eastAsia="Arial"/>
          <w:lang w:val="fr-CA"/>
        </w:rPr>
        <w:t>FIN DE LA SECTION 087113</w:t>
      </w:r>
    </w:p>
    <w:sectPr w:rsidR="006327F3" w:rsidRPr="006327F3" w:rsidSect="004737E4">
      <w:headerReference w:type="even" r:id="rId14"/>
      <w:headerReference w:type="default" r:id="rId15"/>
      <w:footerReference w:type="even" r:id="rId16"/>
      <w:footerReference w:type="default" r:id="rId17"/>
      <w:headerReference w:type="first" r:id="rId18"/>
      <w:footerReference w:type="first" r:id="rId19"/>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FFC" w:rsidRDefault="00E61FFC">
      <w:r>
        <w:separator/>
      </w:r>
    </w:p>
  </w:endnote>
  <w:endnote w:type="continuationSeparator" w:id="0">
    <w:p w:rsidR="00E61FFC" w:rsidRDefault="00E61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oppins-Light">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386" w:rsidRDefault="00CC13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B87" w:rsidRPr="005D6E2D" w:rsidRDefault="00CC1386" w:rsidP="002005DE">
    <w:pPr>
      <w:tabs>
        <w:tab w:val="center" w:pos="4320"/>
        <w:tab w:val="right" w:pos="9270"/>
      </w:tabs>
      <w:rPr>
        <w:lang w:val="fr-CA"/>
      </w:rPr>
    </w:pPr>
    <w:proofErr w:type="spellStart"/>
    <w:r>
      <w:rPr>
        <w:rFonts w:eastAsia="Arial"/>
        <w:lang w:val="fr-CA"/>
      </w:rPr>
      <w:t>dormakaba</w:t>
    </w:r>
    <w:proofErr w:type="spellEnd"/>
    <w:r>
      <w:rPr>
        <w:rFonts w:eastAsia="Arial"/>
        <w:lang w:val="fr-CA"/>
      </w:rPr>
      <w:tab/>
      <w:t xml:space="preserve">08 71 13 </w:t>
    </w:r>
    <w:r>
      <w:rPr>
        <w:rFonts w:eastAsia="Arial"/>
        <w:lang w:val="fr-CA"/>
      </w:rPr>
      <w:tab/>
      <w:t>ACTIONNEURS DE PORTE AUTOMATIQUE</w:t>
    </w:r>
  </w:p>
  <w:p w:rsidR="00DA2B87" w:rsidRPr="005D6E2D" w:rsidRDefault="00CC1386" w:rsidP="002005DE">
    <w:pPr>
      <w:tabs>
        <w:tab w:val="center" w:pos="4320"/>
        <w:tab w:val="right" w:pos="9270"/>
      </w:tabs>
      <w:rPr>
        <w:lang w:val="fr-CA"/>
      </w:rPr>
    </w:pPr>
    <w:r>
      <w:rPr>
        <w:rFonts w:eastAsia="Arial"/>
        <w:lang w:val="fr-CA"/>
      </w:rPr>
      <w:t>ED50</w:t>
    </w:r>
    <w:r>
      <w:rPr>
        <w:rFonts w:eastAsia="Arial"/>
        <w:lang w:val="fr-CA"/>
      </w:rPr>
      <w:tab/>
      <w:t xml:space="preserve">Page </w:t>
    </w:r>
    <w:r w:rsidRPr="00E0209F">
      <w:rPr>
        <w:rStyle w:val="PageNumber"/>
      </w:rPr>
      <w:fldChar w:fldCharType="begin"/>
    </w:r>
    <w:r w:rsidRPr="005D6E2D">
      <w:rPr>
        <w:rStyle w:val="PageNumber"/>
        <w:lang w:val="fr-CA"/>
      </w:rPr>
      <w:instrText xml:space="preserve"> PAGE </w:instrText>
    </w:r>
    <w:r w:rsidRPr="00E0209F">
      <w:rPr>
        <w:rStyle w:val="PageNumber"/>
      </w:rPr>
      <w:fldChar w:fldCharType="separate"/>
    </w:r>
    <w:r w:rsidR="00441616">
      <w:rPr>
        <w:rStyle w:val="PageNumber"/>
        <w:noProof/>
        <w:lang w:val="fr-CA"/>
      </w:rPr>
      <w:t>9</w:t>
    </w:r>
    <w:r w:rsidRPr="00E0209F">
      <w:rPr>
        <w:rStyle w:val="PageNumber"/>
      </w:rPr>
      <w:fldChar w:fldCharType="end"/>
    </w:r>
    <w:r>
      <w:rPr>
        <w:rFonts w:eastAsia="Arial"/>
        <w:lang w:val="fr-CA"/>
      </w:rPr>
      <w:t xml:space="preserve"> sur </w:t>
    </w:r>
    <w:r w:rsidRPr="00E0209F">
      <w:rPr>
        <w:rStyle w:val="PageNumber"/>
      </w:rPr>
      <w:fldChar w:fldCharType="begin"/>
    </w:r>
    <w:r w:rsidRPr="005D6E2D">
      <w:rPr>
        <w:rStyle w:val="PageNumber"/>
        <w:lang w:val="fr-CA"/>
      </w:rPr>
      <w:instrText xml:space="preserve"> NUMPAGES </w:instrText>
    </w:r>
    <w:r w:rsidRPr="00E0209F">
      <w:rPr>
        <w:rStyle w:val="PageNumber"/>
      </w:rPr>
      <w:fldChar w:fldCharType="separate"/>
    </w:r>
    <w:r w:rsidR="00441616">
      <w:rPr>
        <w:rStyle w:val="PageNumber"/>
        <w:noProof/>
        <w:lang w:val="fr-CA"/>
      </w:rPr>
      <w:t>10</w:t>
    </w:r>
    <w:r w:rsidRPr="00E0209F">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386" w:rsidRDefault="00CC13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FFC" w:rsidRDefault="00E61FFC">
      <w:r>
        <w:separator/>
      </w:r>
    </w:p>
  </w:footnote>
  <w:footnote w:type="continuationSeparator" w:id="0">
    <w:p w:rsidR="00E61FFC" w:rsidRDefault="00E61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386" w:rsidRDefault="00CC13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7E4" w:rsidRPr="004737E4" w:rsidRDefault="00CC1386" w:rsidP="00F87506">
    <w:pPr>
      <w:pStyle w:val="Header"/>
      <w:tabs>
        <w:tab w:val="clear" w:pos="8640"/>
        <w:tab w:val="right" w:pos="9360"/>
      </w:tabs>
      <w:rPr>
        <w:b/>
        <w:sz w:val="28"/>
      </w:rPr>
    </w:pPr>
    <w:r>
      <w:rPr>
        <w:rFonts w:ascii="Poppins-Light" w:hAnsi="Poppins-Light" w:cs="Arial"/>
        <w:noProof/>
        <w:color w:val="E52330"/>
        <w:lang w:eastAsia="zh-CN"/>
      </w:rPr>
      <w:drawing>
        <wp:anchor distT="0" distB="0" distL="114300" distR="114300" simplePos="0" relativeHeight="251658240" behindDoc="0" locked="0" layoutInCell="1" allowOverlap="1">
          <wp:simplePos x="0" y="0"/>
          <wp:positionH relativeFrom="margin">
            <wp:posOffset>3876675</wp:posOffset>
          </wp:positionH>
          <wp:positionV relativeFrom="paragraph">
            <wp:posOffset>0</wp:posOffset>
          </wp:positionV>
          <wp:extent cx="2046605" cy="214630"/>
          <wp:effectExtent l="0" t="0" r="0" b="0"/>
          <wp:wrapNone/>
          <wp:docPr id="2" name="Picture 2" descr="dormakab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dormakaba">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046605" cy="21463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Pr>
        <w:rFonts w:eastAsia="Arial"/>
        <w:b/>
        <w:bCs/>
        <w:sz w:val="28"/>
        <w:szCs w:val="28"/>
        <w:lang w:val="fr-CA"/>
      </w:rPr>
      <w:t>dormakaba</w:t>
    </w:r>
    <w:proofErr w:type="spellEnd"/>
  </w:p>
  <w:p w:rsidR="004737E4" w:rsidRPr="004737E4" w:rsidRDefault="00CC1386" w:rsidP="00F87506">
    <w:pPr>
      <w:pStyle w:val="Header"/>
      <w:tabs>
        <w:tab w:val="clear" w:pos="8640"/>
        <w:tab w:val="right" w:pos="9360"/>
      </w:tabs>
      <w:rPr>
        <w:sz w:val="24"/>
      </w:rPr>
    </w:pPr>
    <w:r>
      <w:rPr>
        <w:rFonts w:eastAsia="Arial"/>
        <w:sz w:val="24"/>
        <w:szCs w:val="24"/>
        <w:lang w:val="fr-CA"/>
      </w:rPr>
      <w:t>1 844 SPEC-NOW</w:t>
    </w:r>
  </w:p>
  <w:p w:rsidR="00F87506" w:rsidRDefault="00CC1386" w:rsidP="00F87506">
    <w:pPr>
      <w:pStyle w:val="Header"/>
      <w:tabs>
        <w:tab w:val="clear" w:pos="8640"/>
        <w:tab w:val="right" w:pos="9360"/>
      </w:tabs>
    </w:pPr>
    <w:r>
      <w:rPr>
        <w:rFonts w:eastAsia="Arial"/>
        <w:sz w:val="24"/>
        <w:szCs w:val="24"/>
        <w:lang w:val="fr-CA"/>
      </w:rPr>
      <w:t>specnow@dorma.com</w:t>
    </w:r>
    <w:r>
      <w:rPr>
        <w:rFonts w:eastAsia="Arial"/>
        <w:lang w:val="fr-CA"/>
      </w:rPr>
      <w:tab/>
    </w:r>
  </w:p>
  <w:p w:rsidR="00F87506" w:rsidRPr="004737E4" w:rsidRDefault="00F87506" w:rsidP="00F87506">
    <w:pPr>
      <w:pStyle w:val="Header"/>
      <w:tabs>
        <w:tab w:val="clear" w:pos="8640"/>
        <w:tab w:val="right" w:pos="9360"/>
      </w:tabs>
      <w:rPr>
        <w:sz w:val="28"/>
      </w:rPr>
    </w:pPr>
  </w:p>
  <w:p w:rsidR="00F87506" w:rsidRPr="005D6E2D" w:rsidRDefault="00CC1386" w:rsidP="00F87506">
    <w:pPr>
      <w:pStyle w:val="Header"/>
      <w:tabs>
        <w:tab w:val="clear" w:pos="8640"/>
        <w:tab w:val="right" w:pos="9360"/>
      </w:tabs>
      <w:rPr>
        <w:b/>
        <w:sz w:val="24"/>
        <w:lang w:val="fr-CA"/>
      </w:rPr>
    </w:pPr>
    <w:r>
      <w:rPr>
        <w:rFonts w:eastAsia="Arial"/>
        <w:b/>
        <w:bCs/>
        <w:sz w:val="24"/>
        <w:szCs w:val="24"/>
        <w:lang w:val="fr-CA"/>
      </w:rPr>
      <w:t>[CABINET D’ARCHITECTES]</w:t>
    </w:r>
    <w:r>
      <w:rPr>
        <w:rFonts w:eastAsia="Arial"/>
        <w:b/>
        <w:bCs/>
        <w:sz w:val="24"/>
        <w:szCs w:val="24"/>
        <w:lang w:val="fr-CA"/>
      </w:rPr>
      <w:tab/>
    </w:r>
    <w:r>
      <w:rPr>
        <w:rFonts w:eastAsia="Arial"/>
        <w:b/>
        <w:bCs/>
        <w:sz w:val="24"/>
        <w:szCs w:val="24"/>
        <w:lang w:val="fr-CA"/>
      </w:rPr>
      <w:tab/>
    </w:r>
    <w:proofErr w:type="spellStart"/>
    <w:r>
      <w:rPr>
        <w:rFonts w:eastAsia="Arial"/>
        <w:b/>
        <w:bCs/>
        <w:sz w:val="24"/>
        <w:szCs w:val="24"/>
        <w:lang w:val="fr-CA"/>
      </w:rPr>
      <w:t>dormakaba</w:t>
    </w:r>
    <w:proofErr w:type="spellEnd"/>
    <w:r>
      <w:rPr>
        <w:rFonts w:eastAsia="Arial"/>
        <w:b/>
        <w:bCs/>
        <w:sz w:val="24"/>
        <w:szCs w:val="24"/>
        <w:lang w:val="fr-CA"/>
      </w:rPr>
      <w:t xml:space="preserve"> ESA ED50</w:t>
    </w:r>
  </w:p>
  <w:p w:rsidR="00F87506" w:rsidRPr="005D6E2D" w:rsidRDefault="00CC1386" w:rsidP="00F87506">
    <w:pPr>
      <w:pStyle w:val="Header"/>
      <w:tabs>
        <w:tab w:val="clear" w:pos="8640"/>
        <w:tab w:val="right" w:pos="9360"/>
      </w:tabs>
      <w:rPr>
        <w:b/>
        <w:sz w:val="24"/>
        <w:lang w:val="fr-CA"/>
      </w:rPr>
    </w:pPr>
    <w:r>
      <w:rPr>
        <w:rFonts w:eastAsia="Arial"/>
        <w:b/>
        <w:bCs/>
        <w:sz w:val="24"/>
        <w:szCs w:val="24"/>
        <w:lang w:val="fr-CA"/>
      </w:rPr>
      <w:t>[NOM DU PROJET]</w:t>
    </w:r>
    <w:r>
      <w:rPr>
        <w:rFonts w:eastAsia="Arial"/>
        <w:b/>
        <w:bCs/>
        <w:sz w:val="24"/>
        <w:szCs w:val="24"/>
        <w:lang w:val="fr-CA"/>
      </w:rPr>
      <w:tab/>
    </w:r>
    <w:r>
      <w:rPr>
        <w:rFonts w:eastAsia="Arial"/>
        <w:b/>
        <w:bCs/>
        <w:sz w:val="24"/>
        <w:szCs w:val="24"/>
        <w:lang w:val="fr-CA"/>
      </w:rPr>
      <w:tab/>
      <w:t>ACTIONNEURS À FAIBLE ÉNERGIE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386" w:rsidRDefault="00CC13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A162BA78"/>
    <w:name w:val="MASTERSPEC"/>
    <w:lvl w:ilvl="0">
      <w:start w:val="1"/>
      <w:numFmt w:val="decimal"/>
      <w:pStyle w:val="PR1"/>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rPr>
        <w:rFonts w:ascii="Arial" w:hAnsi="Arial" w:cs="Arial" w:hint="default"/>
      </w:rPr>
    </w:lvl>
    <w:lvl w:ilvl="6">
      <w:start w:val="1"/>
      <w:numFmt w:val="lowerLetter"/>
      <w:pStyle w:val="PR3"/>
      <w:lvlText w:val="%7."/>
      <w:lvlJc w:val="left"/>
      <w:pPr>
        <w:tabs>
          <w:tab w:val="left" w:pos="2016"/>
        </w:tabs>
        <w:ind w:left="2016" w:hanging="576"/>
      </w:pPr>
    </w:lvl>
    <w:lvl w:ilvl="7">
      <w:start w:val="1"/>
      <w:numFmt w:val="decimal"/>
      <w:lvlText w:val="%8)"/>
      <w:lvlJc w:val="left"/>
      <w:pPr>
        <w:tabs>
          <w:tab w:val="left" w:pos="2592"/>
        </w:tabs>
        <w:ind w:left="2592" w:hanging="576"/>
      </w:pPr>
      <w:rPr>
        <w:b w:val="0"/>
      </w:rPr>
    </w:lvl>
    <w:lvl w:ilvl="8">
      <w:start w:val="1"/>
      <w:numFmt w:val="lowerLetter"/>
      <w:lvlText w:val="%9)"/>
      <w:lvlJc w:val="left"/>
      <w:pPr>
        <w:tabs>
          <w:tab w:val="left" w:pos="3168"/>
        </w:tabs>
        <w:ind w:left="3168" w:hanging="576"/>
      </w:pPr>
    </w:lvl>
  </w:abstractNum>
  <w:abstractNum w:abstractNumId="1" w15:restartNumberingAfterBreak="0">
    <w:nsid w:val="1FD15746"/>
    <w:multiLevelType w:val="hybridMultilevel"/>
    <w:tmpl w:val="4732ABFA"/>
    <w:lvl w:ilvl="0" w:tplc="ECD8A36C">
      <w:start w:val="1"/>
      <w:numFmt w:val="decimal"/>
      <w:lvlText w:val="%1)"/>
      <w:lvlJc w:val="left"/>
      <w:pPr>
        <w:ind w:left="2700" w:hanging="360"/>
      </w:pPr>
    </w:lvl>
    <w:lvl w:ilvl="1" w:tplc="0C021BD8" w:tentative="1">
      <w:start w:val="1"/>
      <w:numFmt w:val="lowerLetter"/>
      <w:lvlText w:val="%2."/>
      <w:lvlJc w:val="left"/>
      <w:pPr>
        <w:ind w:left="3420" w:hanging="360"/>
      </w:pPr>
    </w:lvl>
    <w:lvl w:ilvl="2" w:tplc="A5CAA414" w:tentative="1">
      <w:start w:val="1"/>
      <w:numFmt w:val="lowerRoman"/>
      <w:lvlText w:val="%3."/>
      <w:lvlJc w:val="right"/>
      <w:pPr>
        <w:ind w:left="4140" w:hanging="180"/>
      </w:pPr>
    </w:lvl>
    <w:lvl w:ilvl="3" w:tplc="4242675C" w:tentative="1">
      <w:start w:val="1"/>
      <w:numFmt w:val="decimal"/>
      <w:lvlText w:val="%4."/>
      <w:lvlJc w:val="left"/>
      <w:pPr>
        <w:ind w:left="4860" w:hanging="360"/>
      </w:pPr>
    </w:lvl>
    <w:lvl w:ilvl="4" w:tplc="C5A4D3BC" w:tentative="1">
      <w:start w:val="1"/>
      <w:numFmt w:val="lowerLetter"/>
      <w:lvlText w:val="%5."/>
      <w:lvlJc w:val="left"/>
      <w:pPr>
        <w:ind w:left="5580" w:hanging="360"/>
      </w:pPr>
    </w:lvl>
    <w:lvl w:ilvl="5" w:tplc="4B16F7C4" w:tentative="1">
      <w:start w:val="1"/>
      <w:numFmt w:val="lowerRoman"/>
      <w:lvlText w:val="%6."/>
      <w:lvlJc w:val="right"/>
      <w:pPr>
        <w:ind w:left="6300" w:hanging="180"/>
      </w:pPr>
    </w:lvl>
    <w:lvl w:ilvl="6" w:tplc="AD74EE10" w:tentative="1">
      <w:start w:val="1"/>
      <w:numFmt w:val="decimal"/>
      <w:lvlText w:val="%7."/>
      <w:lvlJc w:val="left"/>
      <w:pPr>
        <w:ind w:left="7020" w:hanging="360"/>
      </w:pPr>
    </w:lvl>
    <w:lvl w:ilvl="7" w:tplc="85FC9940" w:tentative="1">
      <w:start w:val="1"/>
      <w:numFmt w:val="lowerLetter"/>
      <w:lvlText w:val="%8."/>
      <w:lvlJc w:val="left"/>
      <w:pPr>
        <w:ind w:left="7740" w:hanging="360"/>
      </w:pPr>
    </w:lvl>
    <w:lvl w:ilvl="8" w:tplc="90EE964A" w:tentative="1">
      <w:start w:val="1"/>
      <w:numFmt w:val="lowerRoman"/>
      <w:lvlText w:val="%9."/>
      <w:lvlJc w:val="right"/>
      <w:pPr>
        <w:ind w:left="8460" w:hanging="180"/>
      </w:pPr>
    </w:lvl>
  </w:abstractNum>
  <w:abstractNum w:abstractNumId="2" w15:restartNumberingAfterBreak="0">
    <w:nsid w:val="330633CF"/>
    <w:multiLevelType w:val="hybridMultilevel"/>
    <w:tmpl w:val="B63E2110"/>
    <w:lvl w:ilvl="0" w:tplc="FFF0393E">
      <w:start w:val="1"/>
      <w:numFmt w:val="bullet"/>
      <w:lvlText w:val=""/>
      <w:lvlJc w:val="left"/>
      <w:pPr>
        <w:tabs>
          <w:tab w:val="num" w:pos="288"/>
        </w:tabs>
        <w:ind w:left="288" w:hanging="288"/>
      </w:pPr>
      <w:rPr>
        <w:rFonts w:ascii="Symbol" w:hAnsi="Symbol" w:hint="default"/>
        <w:color w:val="666699"/>
        <w:sz w:val="24"/>
        <w:szCs w:val="24"/>
      </w:rPr>
    </w:lvl>
    <w:lvl w:ilvl="1" w:tplc="4BB6D5B2" w:tentative="1">
      <w:start w:val="1"/>
      <w:numFmt w:val="bullet"/>
      <w:lvlText w:val="o"/>
      <w:lvlJc w:val="left"/>
      <w:pPr>
        <w:tabs>
          <w:tab w:val="num" w:pos="1440"/>
        </w:tabs>
        <w:ind w:left="1440" w:hanging="360"/>
      </w:pPr>
      <w:rPr>
        <w:rFonts w:ascii="Courier New" w:hAnsi="Courier New" w:cs="Courier New" w:hint="default"/>
      </w:rPr>
    </w:lvl>
    <w:lvl w:ilvl="2" w:tplc="AD82E738" w:tentative="1">
      <w:start w:val="1"/>
      <w:numFmt w:val="bullet"/>
      <w:lvlText w:val=""/>
      <w:lvlJc w:val="left"/>
      <w:pPr>
        <w:tabs>
          <w:tab w:val="num" w:pos="2160"/>
        </w:tabs>
        <w:ind w:left="2160" w:hanging="360"/>
      </w:pPr>
      <w:rPr>
        <w:rFonts w:ascii="Wingdings" w:hAnsi="Wingdings" w:hint="default"/>
      </w:rPr>
    </w:lvl>
    <w:lvl w:ilvl="3" w:tplc="0616E0C8" w:tentative="1">
      <w:start w:val="1"/>
      <w:numFmt w:val="bullet"/>
      <w:lvlText w:val=""/>
      <w:lvlJc w:val="left"/>
      <w:pPr>
        <w:tabs>
          <w:tab w:val="num" w:pos="2880"/>
        </w:tabs>
        <w:ind w:left="2880" w:hanging="360"/>
      </w:pPr>
      <w:rPr>
        <w:rFonts w:ascii="Symbol" w:hAnsi="Symbol" w:hint="default"/>
      </w:rPr>
    </w:lvl>
    <w:lvl w:ilvl="4" w:tplc="D4205DEA" w:tentative="1">
      <w:start w:val="1"/>
      <w:numFmt w:val="bullet"/>
      <w:lvlText w:val="o"/>
      <w:lvlJc w:val="left"/>
      <w:pPr>
        <w:tabs>
          <w:tab w:val="num" w:pos="3600"/>
        </w:tabs>
        <w:ind w:left="3600" w:hanging="360"/>
      </w:pPr>
      <w:rPr>
        <w:rFonts w:ascii="Courier New" w:hAnsi="Courier New" w:cs="Courier New" w:hint="default"/>
      </w:rPr>
    </w:lvl>
    <w:lvl w:ilvl="5" w:tplc="483EFA50" w:tentative="1">
      <w:start w:val="1"/>
      <w:numFmt w:val="bullet"/>
      <w:lvlText w:val=""/>
      <w:lvlJc w:val="left"/>
      <w:pPr>
        <w:tabs>
          <w:tab w:val="num" w:pos="4320"/>
        </w:tabs>
        <w:ind w:left="4320" w:hanging="360"/>
      </w:pPr>
      <w:rPr>
        <w:rFonts w:ascii="Wingdings" w:hAnsi="Wingdings" w:hint="default"/>
      </w:rPr>
    </w:lvl>
    <w:lvl w:ilvl="6" w:tplc="94EA4E02" w:tentative="1">
      <w:start w:val="1"/>
      <w:numFmt w:val="bullet"/>
      <w:lvlText w:val=""/>
      <w:lvlJc w:val="left"/>
      <w:pPr>
        <w:tabs>
          <w:tab w:val="num" w:pos="5040"/>
        </w:tabs>
        <w:ind w:left="5040" w:hanging="360"/>
      </w:pPr>
      <w:rPr>
        <w:rFonts w:ascii="Symbol" w:hAnsi="Symbol" w:hint="default"/>
      </w:rPr>
    </w:lvl>
    <w:lvl w:ilvl="7" w:tplc="1F6241D8" w:tentative="1">
      <w:start w:val="1"/>
      <w:numFmt w:val="bullet"/>
      <w:lvlText w:val="o"/>
      <w:lvlJc w:val="left"/>
      <w:pPr>
        <w:tabs>
          <w:tab w:val="num" w:pos="5760"/>
        </w:tabs>
        <w:ind w:left="5760" w:hanging="360"/>
      </w:pPr>
      <w:rPr>
        <w:rFonts w:ascii="Courier New" w:hAnsi="Courier New" w:cs="Courier New" w:hint="default"/>
      </w:rPr>
    </w:lvl>
    <w:lvl w:ilvl="8" w:tplc="8E48E4D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213A01"/>
    <w:multiLevelType w:val="hybridMultilevel"/>
    <w:tmpl w:val="F0602F28"/>
    <w:lvl w:ilvl="0" w:tplc="7398E85C">
      <w:start w:val="1"/>
      <w:numFmt w:val="bullet"/>
      <w:lvlText w:val=""/>
      <w:lvlJc w:val="left"/>
      <w:pPr>
        <w:tabs>
          <w:tab w:val="num" w:pos="288"/>
        </w:tabs>
        <w:ind w:left="288" w:hanging="288"/>
      </w:pPr>
      <w:rPr>
        <w:rFonts w:ascii="Symbol" w:hAnsi="Symbol" w:hint="default"/>
        <w:color w:val="666699"/>
        <w:sz w:val="24"/>
        <w:szCs w:val="24"/>
      </w:rPr>
    </w:lvl>
    <w:lvl w:ilvl="1" w:tplc="CA049DCA" w:tentative="1">
      <w:start w:val="1"/>
      <w:numFmt w:val="bullet"/>
      <w:lvlText w:val="o"/>
      <w:lvlJc w:val="left"/>
      <w:pPr>
        <w:tabs>
          <w:tab w:val="num" w:pos="1440"/>
        </w:tabs>
        <w:ind w:left="1440" w:hanging="360"/>
      </w:pPr>
      <w:rPr>
        <w:rFonts w:ascii="Courier New" w:hAnsi="Courier New" w:cs="Courier New" w:hint="default"/>
      </w:rPr>
    </w:lvl>
    <w:lvl w:ilvl="2" w:tplc="E4A051C8" w:tentative="1">
      <w:start w:val="1"/>
      <w:numFmt w:val="bullet"/>
      <w:lvlText w:val=""/>
      <w:lvlJc w:val="left"/>
      <w:pPr>
        <w:tabs>
          <w:tab w:val="num" w:pos="2160"/>
        </w:tabs>
        <w:ind w:left="2160" w:hanging="360"/>
      </w:pPr>
      <w:rPr>
        <w:rFonts w:ascii="Wingdings" w:hAnsi="Wingdings" w:hint="default"/>
      </w:rPr>
    </w:lvl>
    <w:lvl w:ilvl="3" w:tplc="E06647C2" w:tentative="1">
      <w:start w:val="1"/>
      <w:numFmt w:val="bullet"/>
      <w:lvlText w:val=""/>
      <w:lvlJc w:val="left"/>
      <w:pPr>
        <w:tabs>
          <w:tab w:val="num" w:pos="2880"/>
        </w:tabs>
        <w:ind w:left="2880" w:hanging="360"/>
      </w:pPr>
      <w:rPr>
        <w:rFonts w:ascii="Symbol" w:hAnsi="Symbol" w:hint="default"/>
      </w:rPr>
    </w:lvl>
    <w:lvl w:ilvl="4" w:tplc="33689980" w:tentative="1">
      <w:start w:val="1"/>
      <w:numFmt w:val="bullet"/>
      <w:lvlText w:val="o"/>
      <w:lvlJc w:val="left"/>
      <w:pPr>
        <w:tabs>
          <w:tab w:val="num" w:pos="3600"/>
        </w:tabs>
        <w:ind w:left="3600" w:hanging="360"/>
      </w:pPr>
      <w:rPr>
        <w:rFonts w:ascii="Courier New" w:hAnsi="Courier New" w:cs="Courier New" w:hint="default"/>
      </w:rPr>
    </w:lvl>
    <w:lvl w:ilvl="5" w:tplc="387440F8" w:tentative="1">
      <w:start w:val="1"/>
      <w:numFmt w:val="bullet"/>
      <w:lvlText w:val=""/>
      <w:lvlJc w:val="left"/>
      <w:pPr>
        <w:tabs>
          <w:tab w:val="num" w:pos="4320"/>
        </w:tabs>
        <w:ind w:left="4320" w:hanging="360"/>
      </w:pPr>
      <w:rPr>
        <w:rFonts w:ascii="Wingdings" w:hAnsi="Wingdings" w:hint="default"/>
      </w:rPr>
    </w:lvl>
    <w:lvl w:ilvl="6" w:tplc="BFFEFAE8" w:tentative="1">
      <w:start w:val="1"/>
      <w:numFmt w:val="bullet"/>
      <w:lvlText w:val=""/>
      <w:lvlJc w:val="left"/>
      <w:pPr>
        <w:tabs>
          <w:tab w:val="num" w:pos="5040"/>
        </w:tabs>
        <w:ind w:left="5040" w:hanging="360"/>
      </w:pPr>
      <w:rPr>
        <w:rFonts w:ascii="Symbol" w:hAnsi="Symbol" w:hint="default"/>
      </w:rPr>
    </w:lvl>
    <w:lvl w:ilvl="7" w:tplc="641AD62A" w:tentative="1">
      <w:start w:val="1"/>
      <w:numFmt w:val="bullet"/>
      <w:lvlText w:val="o"/>
      <w:lvlJc w:val="left"/>
      <w:pPr>
        <w:tabs>
          <w:tab w:val="num" w:pos="5760"/>
        </w:tabs>
        <w:ind w:left="5760" w:hanging="360"/>
      </w:pPr>
      <w:rPr>
        <w:rFonts w:ascii="Courier New" w:hAnsi="Courier New" w:cs="Courier New" w:hint="default"/>
      </w:rPr>
    </w:lvl>
    <w:lvl w:ilvl="8" w:tplc="9D622C0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515061"/>
    <w:multiLevelType w:val="hybridMultilevel"/>
    <w:tmpl w:val="D6B4322A"/>
    <w:lvl w:ilvl="0" w:tplc="4FF86E60">
      <w:start w:val="1"/>
      <w:numFmt w:val="bullet"/>
      <w:lvlText w:val=""/>
      <w:lvlJc w:val="left"/>
      <w:pPr>
        <w:tabs>
          <w:tab w:val="num" w:pos="720"/>
        </w:tabs>
        <w:ind w:left="720" w:hanging="360"/>
      </w:pPr>
      <w:rPr>
        <w:rFonts w:ascii="Symbol" w:hAnsi="Symbol" w:hint="default"/>
      </w:rPr>
    </w:lvl>
    <w:lvl w:ilvl="1" w:tplc="D37CC6F0" w:tentative="1">
      <w:start w:val="1"/>
      <w:numFmt w:val="bullet"/>
      <w:lvlText w:val="o"/>
      <w:lvlJc w:val="left"/>
      <w:pPr>
        <w:tabs>
          <w:tab w:val="num" w:pos="1440"/>
        </w:tabs>
        <w:ind w:left="1440" w:hanging="360"/>
      </w:pPr>
      <w:rPr>
        <w:rFonts w:ascii="Courier New" w:hAnsi="Courier New" w:hint="default"/>
      </w:rPr>
    </w:lvl>
    <w:lvl w:ilvl="2" w:tplc="9DE4CF66" w:tentative="1">
      <w:start w:val="1"/>
      <w:numFmt w:val="bullet"/>
      <w:lvlText w:val=""/>
      <w:lvlJc w:val="left"/>
      <w:pPr>
        <w:tabs>
          <w:tab w:val="num" w:pos="2160"/>
        </w:tabs>
        <w:ind w:left="2160" w:hanging="360"/>
      </w:pPr>
      <w:rPr>
        <w:rFonts w:ascii="Wingdings" w:hAnsi="Wingdings" w:hint="default"/>
      </w:rPr>
    </w:lvl>
    <w:lvl w:ilvl="3" w:tplc="F4A0487A" w:tentative="1">
      <w:start w:val="1"/>
      <w:numFmt w:val="bullet"/>
      <w:lvlText w:val=""/>
      <w:lvlJc w:val="left"/>
      <w:pPr>
        <w:tabs>
          <w:tab w:val="num" w:pos="2880"/>
        </w:tabs>
        <w:ind w:left="2880" w:hanging="360"/>
      </w:pPr>
      <w:rPr>
        <w:rFonts w:ascii="Symbol" w:hAnsi="Symbol" w:hint="default"/>
      </w:rPr>
    </w:lvl>
    <w:lvl w:ilvl="4" w:tplc="F190C980" w:tentative="1">
      <w:start w:val="1"/>
      <w:numFmt w:val="bullet"/>
      <w:lvlText w:val="o"/>
      <w:lvlJc w:val="left"/>
      <w:pPr>
        <w:tabs>
          <w:tab w:val="num" w:pos="3600"/>
        </w:tabs>
        <w:ind w:left="3600" w:hanging="360"/>
      </w:pPr>
      <w:rPr>
        <w:rFonts w:ascii="Courier New" w:hAnsi="Courier New" w:hint="default"/>
      </w:rPr>
    </w:lvl>
    <w:lvl w:ilvl="5" w:tplc="B0705CE6" w:tentative="1">
      <w:start w:val="1"/>
      <w:numFmt w:val="bullet"/>
      <w:lvlText w:val=""/>
      <w:lvlJc w:val="left"/>
      <w:pPr>
        <w:tabs>
          <w:tab w:val="num" w:pos="4320"/>
        </w:tabs>
        <w:ind w:left="4320" w:hanging="360"/>
      </w:pPr>
      <w:rPr>
        <w:rFonts w:ascii="Wingdings" w:hAnsi="Wingdings" w:hint="default"/>
      </w:rPr>
    </w:lvl>
    <w:lvl w:ilvl="6" w:tplc="42CC193C" w:tentative="1">
      <w:start w:val="1"/>
      <w:numFmt w:val="bullet"/>
      <w:lvlText w:val=""/>
      <w:lvlJc w:val="left"/>
      <w:pPr>
        <w:tabs>
          <w:tab w:val="num" w:pos="5040"/>
        </w:tabs>
        <w:ind w:left="5040" w:hanging="360"/>
      </w:pPr>
      <w:rPr>
        <w:rFonts w:ascii="Symbol" w:hAnsi="Symbol" w:hint="default"/>
      </w:rPr>
    </w:lvl>
    <w:lvl w:ilvl="7" w:tplc="60FAB9BE" w:tentative="1">
      <w:start w:val="1"/>
      <w:numFmt w:val="bullet"/>
      <w:lvlText w:val="o"/>
      <w:lvlJc w:val="left"/>
      <w:pPr>
        <w:tabs>
          <w:tab w:val="num" w:pos="5760"/>
        </w:tabs>
        <w:ind w:left="5760" w:hanging="360"/>
      </w:pPr>
      <w:rPr>
        <w:rFonts w:ascii="Courier New" w:hAnsi="Courier New" w:hint="default"/>
      </w:rPr>
    </w:lvl>
    <w:lvl w:ilvl="8" w:tplc="5DDE8DB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E92078"/>
    <w:multiLevelType w:val="hybridMultilevel"/>
    <w:tmpl w:val="927C38E8"/>
    <w:lvl w:ilvl="0" w:tplc="56EABDA2">
      <w:start w:val="1"/>
      <w:numFmt w:val="bullet"/>
      <w:lvlText w:val=""/>
      <w:lvlJc w:val="left"/>
      <w:pPr>
        <w:tabs>
          <w:tab w:val="num" w:pos="720"/>
        </w:tabs>
        <w:ind w:left="720" w:hanging="360"/>
      </w:pPr>
      <w:rPr>
        <w:rFonts w:ascii="Symbol" w:hAnsi="Symbol" w:hint="default"/>
      </w:rPr>
    </w:lvl>
    <w:lvl w:ilvl="1" w:tplc="77E40AAA" w:tentative="1">
      <w:start w:val="1"/>
      <w:numFmt w:val="bullet"/>
      <w:lvlText w:val="o"/>
      <w:lvlJc w:val="left"/>
      <w:pPr>
        <w:tabs>
          <w:tab w:val="num" w:pos="1440"/>
        </w:tabs>
        <w:ind w:left="1440" w:hanging="360"/>
      </w:pPr>
      <w:rPr>
        <w:rFonts w:ascii="Courier New" w:hAnsi="Courier New" w:hint="default"/>
      </w:rPr>
    </w:lvl>
    <w:lvl w:ilvl="2" w:tplc="8C006272" w:tentative="1">
      <w:start w:val="1"/>
      <w:numFmt w:val="bullet"/>
      <w:lvlText w:val=""/>
      <w:lvlJc w:val="left"/>
      <w:pPr>
        <w:tabs>
          <w:tab w:val="num" w:pos="2160"/>
        </w:tabs>
        <w:ind w:left="2160" w:hanging="360"/>
      </w:pPr>
      <w:rPr>
        <w:rFonts w:ascii="Wingdings" w:hAnsi="Wingdings" w:hint="default"/>
      </w:rPr>
    </w:lvl>
    <w:lvl w:ilvl="3" w:tplc="1180A3D2" w:tentative="1">
      <w:start w:val="1"/>
      <w:numFmt w:val="bullet"/>
      <w:lvlText w:val=""/>
      <w:lvlJc w:val="left"/>
      <w:pPr>
        <w:tabs>
          <w:tab w:val="num" w:pos="2880"/>
        </w:tabs>
        <w:ind w:left="2880" w:hanging="360"/>
      </w:pPr>
      <w:rPr>
        <w:rFonts w:ascii="Symbol" w:hAnsi="Symbol" w:hint="default"/>
      </w:rPr>
    </w:lvl>
    <w:lvl w:ilvl="4" w:tplc="4350D542" w:tentative="1">
      <w:start w:val="1"/>
      <w:numFmt w:val="bullet"/>
      <w:lvlText w:val="o"/>
      <w:lvlJc w:val="left"/>
      <w:pPr>
        <w:tabs>
          <w:tab w:val="num" w:pos="3600"/>
        </w:tabs>
        <w:ind w:left="3600" w:hanging="360"/>
      </w:pPr>
      <w:rPr>
        <w:rFonts w:ascii="Courier New" w:hAnsi="Courier New" w:hint="default"/>
      </w:rPr>
    </w:lvl>
    <w:lvl w:ilvl="5" w:tplc="D1FA17D0" w:tentative="1">
      <w:start w:val="1"/>
      <w:numFmt w:val="bullet"/>
      <w:lvlText w:val=""/>
      <w:lvlJc w:val="left"/>
      <w:pPr>
        <w:tabs>
          <w:tab w:val="num" w:pos="4320"/>
        </w:tabs>
        <w:ind w:left="4320" w:hanging="360"/>
      </w:pPr>
      <w:rPr>
        <w:rFonts w:ascii="Wingdings" w:hAnsi="Wingdings" w:hint="default"/>
      </w:rPr>
    </w:lvl>
    <w:lvl w:ilvl="6" w:tplc="DC1CB1A0" w:tentative="1">
      <w:start w:val="1"/>
      <w:numFmt w:val="bullet"/>
      <w:lvlText w:val=""/>
      <w:lvlJc w:val="left"/>
      <w:pPr>
        <w:tabs>
          <w:tab w:val="num" w:pos="5040"/>
        </w:tabs>
        <w:ind w:left="5040" w:hanging="360"/>
      </w:pPr>
      <w:rPr>
        <w:rFonts w:ascii="Symbol" w:hAnsi="Symbol" w:hint="default"/>
      </w:rPr>
    </w:lvl>
    <w:lvl w:ilvl="7" w:tplc="CA72308A" w:tentative="1">
      <w:start w:val="1"/>
      <w:numFmt w:val="bullet"/>
      <w:lvlText w:val="o"/>
      <w:lvlJc w:val="left"/>
      <w:pPr>
        <w:tabs>
          <w:tab w:val="num" w:pos="5760"/>
        </w:tabs>
        <w:ind w:left="5760" w:hanging="360"/>
      </w:pPr>
      <w:rPr>
        <w:rFonts w:ascii="Courier New" w:hAnsi="Courier New" w:hint="default"/>
      </w:rPr>
    </w:lvl>
    <w:lvl w:ilvl="8" w:tplc="AE94D65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AA2817"/>
    <w:multiLevelType w:val="hybridMultilevel"/>
    <w:tmpl w:val="7848D924"/>
    <w:lvl w:ilvl="0" w:tplc="8AB6EFCE">
      <w:start w:val="1"/>
      <w:numFmt w:val="bullet"/>
      <w:lvlText w:val=""/>
      <w:lvlJc w:val="left"/>
      <w:pPr>
        <w:tabs>
          <w:tab w:val="num" w:pos="288"/>
        </w:tabs>
        <w:ind w:left="288" w:hanging="288"/>
      </w:pPr>
      <w:rPr>
        <w:rFonts w:ascii="Symbol" w:hAnsi="Symbol" w:hint="default"/>
        <w:color w:val="666699"/>
        <w:sz w:val="24"/>
        <w:szCs w:val="24"/>
      </w:rPr>
    </w:lvl>
    <w:lvl w:ilvl="1" w:tplc="63D45286" w:tentative="1">
      <w:start w:val="1"/>
      <w:numFmt w:val="bullet"/>
      <w:lvlText w:val="o"/>
      <w:lvlJc w:val="left"/>
      <w:pPr>
        <w:tabs>
          <w:tab w:val="num" w:pos="1440"/>
        </w:tabs>
        <w:ind w:left="1440" w:hanging="360"/>
      </w:pPr>
      <w:rPr>
        <w:rFonts w:ascii="Courier New" w:hAnsi="Courier New" w:cs="Courier New" w:hint="default"/>
      </w:rPr>
    </w:lvl>
    <w:lvl w:ilvl="2" w:tplc="73982034" w:tentative="1">
      <w:start w:val="1"/>
      <w:numFmt w:val="bullet"/>
      <w:lvlText w:val=""/>
      <w:lvlJc w:val="left"/>
      <w:pPr>
        <w:tabs>
          <w:tab w:val="num" w:pos="2160"/>
        </w:tabs>
        <w:ind w:left="2160" w:hanging="360"/>
      </w:pPr>
      <w:rPr>
        <w:rFonts w:ascii="Wingdings" w:hAnsi="Wingdings" w:hint="default"/>
      </w:rPr>
    </w:lvl>
    <w:lvl w:ilvl="3" w:tplc="ED1038EA" w:tentative="1">
      <w:start w:val="1"/>
      <w:numFmt w:val="bullet"/>
      <w:lvlText w:val=""/>
      <w:lvlJc w:val="left"/>
      <w:pPr>
        <w:tabs>
          <w:tab w:val="num" w:pos="2880"/>
        </w:tabs>
        <w:ind w:left="2880" w:hanging="360"/>
      </w:pPr>
      <w:rPr>
        <w:rFonts w:ascii="Symbol" w:hAnsi="Symbol" w:hint="default"/>
      </w:rPr>
    </w:lvl>
    <w:lvl w:ilvl="4" w:tplc="C59EDA86" w:tentative="1">
      <w:start w:val="1"/>
      <w:numFmt w:val="bullet"/>
      <w:lvlText w:val="o"/>
      <w:lvlJc w:val="left"/>
      <w:pPr>
        <w:tabs>
          <w:tab w:val="num" w:pos="3600"/>
        </w:tabs>
        <w:ind w:left="3600" w:hanging="360"/>
      </w:pPr>
      <w:rPr>
        <w:rFonts w:ascii="Courier New" w:hAnsi="Courier New" w:cs="Courier New" w:hint="default"/>
      </w:rPr>
    </w:lvl>
    <w:lvl w:ilvl="5" w:tplc="E72AE4F0" w:tentative="1">
      <w:start w:val="1"/>
      <w:numFmt w:val="bullet"/>
      <w:lvlText w:val=""/>
      <w:lvlJc w:val="left"/>
      <w:pPr>
        <w:tabs>
          <w:tab w:val="num" w:pos="4320"/>
        </w:tabs>
        <w:ind w:left="4320" w:hanging="360"/>
      </w:pPr>
      <w:rPr>
        <w:rFonts w:ascii="Wingdings" w:hAnsi="Wingdings" w:hint="default"/>
      </w:rPr>
    </w:lvl>
    <w:lvl w:ilvl="6" w:tplc="62E6A04E" w:tentative="1">
      <w:start w:val="1"/>
      <w:numFmt w:val="bullet"/>
      <w:lvlText w:val=""/>
      <w:lvlJc w:val="left"/>
      <w:pPr>
        <w:tabs>
          <w:tab w:val="num" w:pos="5040"/>
        </w:tabs>
        <w:ind w:left="5040" w:hanging="360"/>
      </w:pPr>
      <w:rPr>
        <w:rFonts w:ascii="Symbol" w:hAnsi="Symbol" w:hint="default"/>
      </w:rPr>
    </w:lvl>
    <w:lvl w:ilvl="7" w:tplc="68E48B10" w:tentative="1">
      <w:start w:val="1"/>
      <w:numFmt w:val="bullet"/>
      <w:lvlText w:val="o"/>
      <w:lvlJc w:val="left"/>
      <w:pPr>
        <w:tabs>
          <w:tab w:val="num" w:pos="5760"/>
        </w:tabs>
        <w:ind w:left="5760" w:hanging="360"/>
      </w:pPr>
      <w:rPr>
        <w:rFonts w:ascii="Courier New" w:hAnsi="Courier New" w:cs="Courier New" w:hint="default"/>
      </w:rPr>
    </w:lvl>
    <w:lvl w:ilvl="8" w:tplc="5750F69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864E08"/>
    <w:multiLevelType w:val="multilevel"/>
    <w:tmpl w:val="27EE47A2"/>
    <w:lvl w:ilvl="0">
      <w:start w:val="1"/>
      <w:numFmt w:val="decimal"/>
      <w:pStyle w:val="ARCATPart"/>
      <w:suff w:val="nothing"/>
      <w:lvlText w:val="PART %1  "/>
      <w:lvlJc w:val="left"/>
      <w:pPr>
        <w:tabs>
          <w:tab w:val="num" w:pos="864"/>
        </w:tabs>
        <w:ind w:left="864" w:hanging="864"/>
      </w:pPr>
      <w:rPr>
        <w:rFonts w:hint="default"/>
      </w:rPr>
    </w:lvl>
    <w:lvl w:ilvl="1">
      <w:start w:val="1"/>
      <w:numFmt w:val="decimal"/>
      <w:pStyle w:val="ARCATArticle"/>
      <w:lvlText w:val="%1.%2"/>
      <w:lvlJc w:val="left"/>
      <w:pPr>
        <w:tabs>
          <w:tab w:val="num" w:pos="576"/>
        </w:tabs>
        <w:ind w:left="576" w:hanging="576"/>
      </w:pPr>
      <w:rPr>
        <w:rFonts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ARCATSubPara"/>
      <w:lvlText w:val="%4."/>
      <w:lvlJc w:val="left"/>
      <w:pPr>
        <w:tabs>
          <w:tab w:val="num" w:pos="1728"/>
        </w:tabs>
        <w:ind w:left="1728" w:hanging="576"/>
      </w:pPr>
      <w:rPr>
        <w:rFonts w:hint="default"/>
      </w:rPr>
    </w:lvl>
    <w:lvl w:ilvl="4">
      <w:start w:val="1"/>
      <w:numFmt w:val="lowerLetter"/>
      <w:pStyle w:val="ARCATSubSub1"/>
      <w:lvlText w:val="%5."/>
      <w:lvlJc w:val="left"/>
      <w:pPr>
        <w:tabs>
          <w:tab w:val="num" w:pos="2304"/>
        </w:tabs>
        <w:ind w:left="2304" w:hanging="576"/>
      </w:pPr>
      <w:rPr>
        <w:rFonts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abstractNum w:abstractNumId="8" w15:restartNumberingAfterBreak="0">
    <w:nsid w:val="6DBE7049"/>
    <w:multiLevelType w:val="hybridMultilevel"/>
    <w:tmpl w:val="065A1856"/>
    <w:name w:val="MASTERSPEC2"/>
    <w:lvl w:ilvl="0" w:tplc="333E1FA2">
      <w:start w:val="1"/>
      <w:numFmt w:val="lowerLetter"/>
      <w:pStyle w:val="PR4"/>
      <w:lvlText w:val="%1."/>
      <w:lvlJc w:val="left"/>
      <w:pPr>
        <w:ind w:left="2160" w:hanging="360"/>
      </w:pPr>
    </w:lvl>
    <w:lvl w:ilvl="1" w:tplc="F8DEF0A2" w:tentative="1">
      <w:start w:val="1"/>
      <w:numFmt w:val="lowerLetter"/>
      <w:lvlText w:val="%2."/>
      <w:lvlJc w:val="left"/>
      <w:pPr>
        <w:ind w:left="2880" w:hanging="360"/>
      </w:pPr>
    </w:lvl>
    <w:lvl w:ilvl="2" w:tplc="299CD3E0" w:tentative="1">
      <w:start w:val="1"/>
      <w:numFmt w:val="lowerRoman"/>
      <w:lvlText w:val="%3."/>
      <w:lvlJc w:val="right"/>
      <w:pPr>
        <w:ind w:left="3600" w:hanging="180"/>
      </w:pPr>
    </w:lvl>
    <w:lvl w:ilvl="3" w:tplc="C6B0FD30" w:tentative="1">
      <w:start w:val="1"/>
      <w:numFmt w:val="decimal"/>
      <w:lvlText w:val="%4."/>
      <w:lvlJc w:val="left"/>
      <w:pPr>
        <w:ind w:left="4320" w:hanging="360"/>
      </w:pPr>
    </w:lvl>
    <w:lvl w:ilvl="4" w:tplc="B43853AE" w:tentative="1">
      <w:start w:val="1"/>
      <w:numFmt w:val="lowerLetter"/>
      <w:lvlText w:val="%5."/>
      <w:lvlJc w:val="left"/>
      <w:pPr>
        <w:ind w:left="5040" w:hanging="360"/>
      </w:pPr>
    </w:lvl>
    <w:lvl w:ilvl="5" w:tplc="C4662ED8" w:tentative="1">
      <w:start w:val="1"/>
      <w:numFmt w:val="lowerRoman"/>
      <w:lvlText w:val="%6."/>
      <w:lvlJc w:val="right"/>
      <w:pPr>
        <w:ind w:left="5760" w:hanging="180"/>
      </w:pPr>
    </w:lvl>
    <w:lvl w:ilvl="6" w:tplc="9C7CC8A2" w:tentative="1">
      <w:start w:val="1"/>
      <w:numFmt w:val="decimal"/>
      <w:lvlText w:val="%7."/>
      <w:lvlJc w:val="left"/>
      <w:pPr>
        <w:ind w:left="6480" w:hanging="360"/>
      </w:pPr>
    </w:lvl>
    <w:lvl w:ilvl="7" w:tplc="9F3AE240" w:tentative="1">
      <w:start w:val="1"/>
      <w:numFmt w:val="lowerLetter"/>
      <w:lvlText w:val="%8."/>
      <w:lvlJc w:val="left"/>
      <w:pPr>
        <w:ind w:left="7200" w:hanging="360"/>
      </w:pPr>
    </w:lvl>
    <w:lvl w:ilvl="8" w:tplc="54908502" w:tentative="1">
      <w:start w:val="1"/>
      <w:numFmt w:val="lowerRoman"/>
      <w:lvlText w:val="%9."/>
      <w:lvlJc w:val="right"/>
      <w:pPr>
        <w:ind w:left="7920" w:hanging="180"/>
      </w:pPr>
    </w:lvl>
  </w:abstractNum>
  <w:abstractNum w:abstractNumId="9" w15:restartNumberingAfterBreak="0">
    <w:nsid w:val="70111C57"/>
    <w:multiLevelType w:val="hybridMultilevel"/>
    <w:tmpl w:val="C060CC64"/>
    <w:lvl w:ilvl="0" w:tplc="69568C1E">
      <w:start w:val="1"/>
      <w:numFmt w:val="decimal"/>
      <w:lvlText w:val="%1."/>
      <w:lvlJc w:val="left"/>
      <w:pPr>
        <w:tabs>
          <w:tab w:val="num" w:pos="720"/>
        </w:tabs>
        <w:ind w:left="720" w:hanging="360"/>
      </w:pPr>
    </w:lvl>
    <w:lvl w:ilvl="1" w:tplc="00CAB9FA" w:tentative="1">
      <w:start w:val="1"/>
      <w:numFmt w:val="lowerLetter"/>
      <w:lvlText w:val="%2."/>
      <w:lvlJc w:val="left"/>
      <w:pPr>
        <w:tabs>
          <w:tab w:val="num" w:pos="1440"/>
        </w:tabs>
        <w:ind w:left="1440" w:hanging="360"/>
      </w:pPr>
    </w:lvl>
    <w:lvl w:ilvl="2" w:tplc="59FC6F48" w:tentative="1">
      <w:start w:val="1"/>
      <w:numFmt w:val="lowerRoman"/>
      <w:lvlText w:val="%3."/>
      <w:lvlJc w:val="right"/>
      <w:pPr>
        <w:tabs>
          <w:tab w:val="num" w:pos="2160"/>
        </w:tabs>
        <w:ind w:left="2160" w:hanging="180"/>
      </w:pPr>
    </w:lvl>
    <w:lvl w:ilvl="3" w:tplc="B060FEC6" w:tentative="1">
      <w:start w:val="1"/>
      <w:numFmt w:val="decimal"/>
      <w:lvlText w:val="%4."/>
      <w:lvlJc w:val="left"/>
      <w:pPr>
        <w:tabs>
          <w:tab w:val="num" w:pos="2880"/>
        </w:tabs>
        <w:ind w:left="2880" w:hanging="360"/>
      </w:pPr>
    </w:lvl>
    <w:lvl w:ilvl="4" w:tplc="BD9A3B38" w:tentative="1">
      <w:start w:val="1"/>
      <w:numFmt w:val="lowerLetter"/>
      <w:lvlText w:val="%5."/>
      <w:lvlJc w:val="left"/>
      <w:pPr>
        <w:tabs>
          <w:tab w:val="num" w:pos="3600"/>
        </w:tabs>
        <w:ind w:left="3600" w:hanging="360"/>
      </w:pPr>
    </w:lvl>
    <w:lvl w:ilvl="5" w:tplc="3DEAA4DE" w:tentative="1">
      <w:start w:val="1"/>
      <w:numFmt w:val="lowerRoman"/>
      <w:lvlText w:val="%6."/>
      <w:lvlJc w:val="right"/>
      <w:pPr>
        <w:tabs>
          <w:tab w:val="num" w:pos="4320"/>
        </w:tabs>
        <w:ind w:left="4320" w:hanging="180"/>
      </w:pPr>
    </w:lvl>
    <w:lvl w:ilvl="6" w:tplc="6FE8761C" w:tentative="1">
      <w:start w:val="1"/>
      <w:numFmt w:val="decimal"/>
      <w:lvlText w:val="%7."/>
      <w:lvlJc w:val="left"/>
      <w:pPr>
        <w:tabs>
          <w:tab w:val="num" w:pos="5040"/>
        </w:tabs>
        <w:ind w:left="5040" w:hanging="360"/>
      </w:pPr>
    </w:lvl>
    <w:lvl w:ilvl="7" w:tplc="73D6333A" w:tentative="1">
      <w:start w:val="1"/>
      <w:numFmt w:val="lowerLetter"/>
      <w:lvlText w:val="%8."/>
      <w:lvlJc w:val="left"/>
      <w:pPr>
        <w:tabs>
          <w:tab w:val="num" w:pos="5760"/>
        </w:tabs>
        <w:ind w:left="5760" w:hanging="360"/>
      </w:pPr>
    </w:lvl>
    <w:lvl w:ilvl="8" w:tplc="B456E2EE" w:tentative="1">
      <w:start w:val="1"/>
      <w:numFmt w:val="lowerRoman"/>
      <w:lvlText w:val="%9."/>
      <w:lvlJc w:val="right"/>
      <w:pPr>
        <w:tabs>
          <w:tab w:val="num" w:pos="6480"/>
        </w:tabs>
        <w:ind w:left="6480" w:hanging="180"/>
      </w:pPr>
    </w:lvl>
  </w:abstractNum>
  <w:abstractNum w:abstractNumId="10" w15:restartNumberingAfterBreak="0">
    <w:nsid w:val="70634D42"/>
    <w:multiLevelType w:val="hybridMultilevel"/>
    <w:tmpl w:val="5CCA1AD6"/>
    <w:lvl w:ilvl="0" w:tplc="C9C64F18">
      <w:start w:val="1"/>
      <w:numFmt w:val="bullet"/>
      <w:lvlText w:val=""/>
      <w:lvlJc w:val="left"/>
      <w:pPr>
        <w:tabs>
          <w:tab w:val="num" w:pos="288"/>
        </w:tabs>
        <w:ind w:left="288" w:hanging="288"/>
      </w:pPr>
      <w:rPr>
        <w:rFonts w:ascii="Symbol" w:hAnsi="Symbol" w:hint="default"/>
        <w:color w:val="666699"/>
        <w:sz w:val="24"/>
        <w:szCs w:val="24"/>
      </w:rPr>
    </w:lvl>
    <w:lvl w:ilvl="1" w:tplc="A4386E3A" w:tentative="1">
      <w:start w:val="1"/>
      <w:numFmt w:val="bullet"/>
      <w:lvlText w:val="o"/>
      <w:lvlJc w:val="left"/>
      <w:pPr>
        <w:tabs>
          <w:tab w:val="num" w:pos="1440"/>
        </w:tabs>
        <w:ind w:left="1440" w:hanging="360"/>
      </w:pPr>
      <w:rPr>
        <w:rFonts w:ascii="Courier New" w:hAnsi="Courier New" w:cs="Courier New" w:hint="default"/>
      </w:rPr>
    </w:lvl>
    <w:lvl w:ilvl="2" w:tplc="03320366" w:tentative="1">
      <w:start w:val="1"/>
      <w:numFmt w:val="bullet"/>
      <w:lvlText w:val=""/>
      <w:lvlJc w:val="left"/>
      <w:pPr>
        <w:tabs>
          <w:tab w:val="num" w:pos="2160"/>
        </w:tabs>
        <w:ind w:left="2160" w:hanging="360"/>
      </w:pPr>
      <w:rPr>
        <w:rFonts w:ascii="Wingdings" w:hAnsi="Wingdings" w:hint="default"/>
      </w:rPr>
    </w:lvl>
    <w:lvl w:ilvl="3" w:tplc="C0CCDEAE" w:tentative="1">
      <w:start w:val="1"/>
      <w:numFmt w:val="bullet"/>
      <w:lvlText w:val=""/>
      <w:lvlJc w:val="left"/>
      <w:pPr>
        <w:tabs>
          <w:tab w:val="num" w:pos="2880"/>
        </w:tabs>
        <w:ind w:left="2880" w:hanging="360"/>
      </w:pPr>
      <w:rPr>
        <w:rFonts w:ascii="Symbol" w:hAnsi="Symbol" w:hint="default"/>
      </w:rPr>
    </w:lvl>
    <w:lvl w:ilvl="4" w:tplc="6A722D5E" w:tentative="1">
      <w:start w:val="1"/>
      <w:numFmt w:val="bullet"/>
      <w:lvlText w:val="o"/>
      <w:lvlJc w:val="left"/>
      <w:pPr>
        <w:tabs>
          <w:tab w:val="num" w:pos="3600"/>
        </w:tabs>
        <w:ind w:left="3600" w:hanging="360"/>
      </w:pPr>
      <w:rPr>
        <w:rFonts w:ascii="Courier New" w:hAnsi="Courier New" w:cs="Courier New" w:hint="default"/>
      </w:rPr>
    </w:lvl>
    <w:lvl w:ilvl="5" w:tplc="F56485C8" w:tentative="1">
      <w:start w:val="1"/>
      <w:numFmt w:val="bullet"/>
      <w:lvlText w:val=""/>
      <w:lvlJc w:val="left"/>
      <w:pPr>
        <w:tabs>
          <w:tab w:val="num" w:pos="4320"/>
        </w:tabs>
        <w:ind w:left="4320" w:hanging="360"/>
      </w:pPr>
      <w:rPr>
        <w:rFonts w:ascii="Wingdings" w:hAnsi="Wingdings" w:hint="default"/>
      </w:rPr>
    </w:lvl>
    <w:lvl w:ilvl="6" w:tplc="AFBAFA8C" w:tentative="1">
      <w:start w:val="1"/>
      <w:numFmt w:val="bullet"/>
      <w:lvlText w:val=""/>
      <w:lvlJc w:val="left"/>
      <w:pPr>
        <w:tabs>
          <w:tab w:val="num" w:pos="5040"/>
        </w:tabs>
        <w:ind w:left="5040" w:hanging="360"/>
      </w:pPr>
      <w:rPr>
        <w:rFonts w:ascii="Symbol" w:hAnsi="Symbol" w:hint="default"/>
      </w:rPr>
    </w:lvl>
    <w:lvl w:ilvl="7" w:tplc="957666BA" w:tentative="1">
      <w:start w:val="1"/>
      <w:numFmt w:val="bullet"/>
      <w:lvlText w:val="o"/>
      <w:lvlJc w:val="left"/>
      <w:pPr>
        <w:tabs>
          <w:tab w:val="num" w:pos="5760"/>
        </w:tabs>
        <w:ind w:left="5760" w:hanging="360"/>
      </w:pPr>
      <w:rPr>
        <w:rFonts w:ascii="Courier New" w:hAnsi="Courier New" w:cs="Courier New" w:hint="default"/>
      </w:rPr>
    </w:lvl>
    <w:lvl w:ilvl="8" w:tplc="75EEC61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093D2C"/>
    <w:multiLevelType w:val="hybridMultilevel"/>
    <w:tmpl w:val="04708D78"/>
    <w:lvl w:ilvl="0" w:tplc="8EE804BA">
      <w:start w:val="1"/>
      <w:numFmt w:val="bullet"/>
      <w:lvlText w:val=""/>
      <w:lvlJc w:val="left"/>
      <w:pPr>
        <w:tabs>
          <w:tab w:val="num" w:pos="720"/>
        </w:tabs>
        <w:ind w:left="720" w:hanging="360"/>
      </w:pPr>
      <w:rPr>
        <w:rFonts w:ascii="Symbol" w:hAnsi="Symbol" w:hint="default"/>
      </w:rPr>
    </w:lvl>
    <w:lvl w:ilvl="1" w:tplc="D19E549C" w:tentative="1">
      <w:start w:val="1"/>
      <w:numFmt w:val="bullet"/>
      <w:lvlText w:val="o"/>
      <w:lvlJc w:val="left"/>
      <w:pPr>
        <w:tabs>
          <w:tab w:val="num" w:pos="1440"/>
        </w:tabs>
        <w:ind w:left="1440" w:hanging="360"/>
      </w:pPr>
      <w:rPr>
        <w:rFonts w:ascii="Courier New" w:hAnsi="Courier New" w:hint="default"/>
      </w:rPr>
    </w:lvl>
    <w:lvl w:ilvl="2" w:tplc="5A12D02E" w:tentative="1">
      <w:start w:val="1"/>
      <w:numFmt w:val="bullet"/>
      <w:lvlText w:val=""/>
      <w:lvlJc w:val="left"/>
      <w:pPr>
        <w:tabs>
          <w:tab w:val="num" w:pos="2160"/>
        </w:tabs>
        <w:ind w:left="2160" w:hanging="360"/>
      </w:pPr>
      <w:rPr>
        <w:rFonts w:ascii="Wingdings" w:hAnsi="Wingdings" w:hint="default"/>
      </w:rPr>
    </w:lvl>
    <w:lvl w:ilvl="3" w:tplc="28F6BA78" w:tentative="1">
      <w:start w:val="1"/>
      <w:numFmt w:val="bullet"/>
      <w:lvlText w:val=""/>
      <w:lvlJc w:val="left"/>
      <w:pPr>
        <w:tabs>
          <w:tab w:val="num" w:pos="2880"/>
        </w:tabs>
        <w:ind w:left="2880" w:hanging="360"/>
      </w:pPr>
      <w:rPr>
        <w:rFonts w:ascii="Symbol" w:hAnsi="Symbol" w:hint="default"/>
      </w:rPr>
    </w:lvl>
    <w:lvl w:ilvl="4" w:tplc="250ED710" w:tentative="1">
      <w:start w:val="1"/>
      <w:numFmt w:val="bullet"/>
      <w:lvlText w:val="o"/>
      <w:lvlJc w:val="left"/>
      <w:pPr>
        <w:tabs>
          <w:tab w:val="num" w:pos="3600"/>
        </w:tabs>
        <w:ind w:left="3600" w:hanging="360"/>
      </w:pPr>
      <w:rPr>
        <w:rFonts w:ascii="Courier New" w:hAnsi="Courier New" w:hint="default"/>
      </w:rPr>
    </w:lvl>
    <w:lvl w:ilvl="5" w:tplc="29923168" w:tentative="1">
      <w:start w:val="1"/>
      <w:numFmt w:val="bullet"/>
      <w:lvlText w:val=""/>
      <w:lvlJc w:val="left"/>
      <w:pPr>
        <w:tabs>
          <w:tab w:val="num" w:pos="4320"/>
        </w:tabs>
        <w:ind w:left="4320" w:hanging="360"/>
      </w:pPr>
      <w:rPr>
        <w:rFonts w:ascii="Wingdings" w:hAnsi="Wingdings" w:hint="default"/>
      </w:rPr>
    </w:lvl>
    <w:lvl w:ilvl="6" w:tplc="A8CE89C2" w:tentative="1">
      <w:start w:val="1"/>
      <w:numFmt w:val="bullet"/>
      <w:lvlText w:val=""/>
      <w:lvlJc w:val="left"/>
      <w:pPr>
        <w:tabs>
          <w:tab w:val="num" w:pos="5040"/>
        </w:tabs>
        <w:ind w:left="5040" w:hanging="360"/>
      </w:pPr>
      <w:rPr>
        <w:rFonts w:ascii="Symbol" w:hAnsi="Symbol" w:hint="default"/>
      </w:rPr>
    </w:lvl>
    <w:lvl w:ilvl="7" w:tplc="6A82771C" w:tentative="1">
      <w:start w:val="1"/>
      <w:numFmt w:val="bullet"/>
      <w:lvlText w:val="o"/>
      <w:lvlJc w:val="left"/>
      <w:pPr>
        <w:tabs>
          <w:tab w:val="num" w:pos="5760"/>
        </w:tabs>
        <w:ind w:left="5760" w:hanging="360"/>
      </w:pPr>
      <w:rPr>
        <w:rFonts w:ascii="Courier New" w:hAnsi="Courier New" w:hint="default"/>
      </w:rPr>
    </w:lvl>
    <w:lvl w:ilvl="8" w:tplc="DCB6BB7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4"/>
  </w:num>
  <w:num w:numId="4">
    <w:abstractNumId w:val="9"/>
  </w:num>
  <w:num w:numId="5">
    <w:abstractNumId w:val="11"/>
  </w:num>
  <w:num w:numId="6">
    <w:abstractNumId w:val="3"/>
  </w:num>
  <w:num w:numId="7">
    <w:abstractNumId w:val="6"/>
  </w:num>
  <w:num w:numId="8">
    <w:abstractNumId w:val="2"/>
  </w:num>
  <w:num w:numId="9">
    <w:abstractNumId w:val="10"/>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0"/>
    <w:lvlOverride w:ilvl="0">
      <w:startOverride w:val="1"/>
    </w:lvlOverride>
    <w:lvlOverride w:ilvl="1"/>
    <w:lvlOverride w:ilvl="2"/>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28">
    <w:abstractNumId w:val="0"/>
    <w:lvlOverride w:ilvl="0">
      <w:startOverride w:val="2"/>
    </w:lvlOverride>
    <w:lvlOverride w:ilvl="1"/>
    <w:lvlOverride w:ilvl="2"/>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0"/>
    <w:lvlOverride w:ilvl="0">
      <w:lvl w:ilvl="0">
        <w:start w:val="1"/>
        <w:numFmt w:val="decimal"/>
        <w:pStyle w:val="PR1"/>
        <w:suff w:val="nothing"/>
        <w:lvlText w:val="PARTIE %1 - "/>
        <w:lvlJc w:val="left"/>
        <w:pPr>
          <w:ind w:left="0" w:firstLine="0"/>
        </w:pPr>
        <w:rPr>
          <w:rFonts w:hint="default"/>
        </w:rPr>
      </w:lvl>
    </w:lvlOverride>
    <w:lvlOverride w:ilvl="1">
      <w:lvl w:ilvl="1">
        <w:numFmt w:val="decimal"/>
        <w:suff w:val="nothing"/>
        <w:lvlText w:val="SCHEDULE %2 - "/>
        <w:lvlJc w:val="left"/>
        <w:pPr>
          <w:ind w:left="0" w:firstLine="0"/>
        </w:pPr>
        <w:rPr>
          <w:rFonts w:hint="default"/>
        </w:rPr>
      </w:lvl>
    </w:lvlOverride>
    <w:lvlOverride w:ilvl="2">
      <w:lvl w:ilvl="2">
        <w:numFmt w:val="decimal"/>
        <w:suff w:val="nothing"/>
        <w:lvlText w:val="PRODUCT DATA SHEET %3 - "/>
        <w:lvlJc w:val="left"/>
        <w:pPr>
          <w:ind w:left="0" w:firstLine="0"/>
        </w:pPr>
        <w:rPr>
          <w:rFonts w:hint="default"/>
        </w:rPr>
      </w:lvl>
    </w:lvlOverride>
    <w:lvlOverride w:ilvl="3">
      <w:lvl w:ilvl="3">
        <w:start w:val="1"/>
        <w:numFmt w:val="decimal"/>
        <w:pStyle w:val="ART"/>
        <w:lvlText w:val="%1.%4"/>
        <w:lvlJc w:val="left"/>
        <w:pPr>
          <w:tabs>
            <w:tab w:val="num" w:pos="864"/>
          </w:tabs>
          <w:ind w:left="864" w:hanging="864"/>
        </w:pPr>
        <w:rPr>
          <w:rFonts w:hint="default"/>
        </w:rPr>
      </w:lvl>
    </w:lvlOverride>
    <w:lvlOverride w:ilvl="4">
      <w:lvl w:ilvl="4">
        <w:start w:val="1"/>
        <w:numFmt w:val="upperLetter"/>
        <w:pStyle w:val="PR1"/>
        <w:lvlText w:val="%5."/>
        <w:lvlJc w:val="left"/>
        <w:pPr>
          <w:tabs>
            <w:tab w:val="num" w:pos="864"/>
          </w:tabs>
          <w:ind w:left="864" w:hanging="576"/>
        </w:pPr>
        <w:rPr>
          <w:rFonts w:hint="default"/>
        </w:rPr>
      </w:lvl>
    </w:lvlOverride>
    <w:lvlOverride w:ilvl="5">
      <w:lvl w:ilvl="5">
        <w:start w:val="1"/>
        <w:numFmt w:val="decimal"/>
        <w:pStyle w:val="PR2"/>
        <w:lvlText w:val="%6."/>
        <w:lvlJc w:val="left"/>
        <w:pPr>
          <w:tabs>
            <w:tab w:val="num" w:pos="1440"/>
          </w:tabs>
          <w:ind w:left="1440" w:hanging="576"/>
        </w:pPr>
        <w:rPr>
          <w:rFonts w:ascii="Arial" w:hAnsi="Arial" w:cs="Arial" w:hint="default"/>
        </w:rPr>
      </w:lvl>
    </w:lvlOverride>
    <w:lvlOverride w:ilvl="6">
      <w:lvl w:ilvl="6">
        <w:start w:val="1"/>
        <w:numFmt w:val="lowerLetter"/>
        <w:pStyle w:val="PR3"/>
        <w:lvlText w:val="%7."/>
        <w:lvlJc w:val="left"/>
        <w:pPr>
          <w:tabs>
            <w:tab w:val="num" w:pos="2016"/>
          </w:tabs>
          <w:ind w:left="2016" w:hanging="576"/>
        </w:pPr>
        <w:rPr>
          <w:rFonts w:hint="default"/>
        </w:rPr>
      </w:lvl>
    </w:lvlOverride>
    <w:lvlOverride w:ilvl="7">
      <w:lvl w:ilvl="7">
        <w:start w:val="1"/>
        <w:numFmt w:val="decimal"/>
        <w:lvlText w:val="%8)"/>
        <w:lvlJc w:val="left"/>
        <w:pPr>
          <w:tabs>
            <w:tab w:val="num" w:pos="2592"/>
          </w:tabs>
          <w:ind w:left="2592" w:hanging="576"/>
        </w:pPr>
        <w:rPr>
          <w:rFonts w:hint="default"/>
          <w:b w:val="0"/>
        </w:rPr>
      </w:lvl>
    </w:lvlOverride>
    <w:lvlOverride w:ilvl="8">
      <w:lvl w:ilvl="8">
        <w:start w:val="1"/>
        <w:numFmt w:val="lowerLetter"/>
        <w:lvlText w:val="%9)"/>
        <w:lvlJc w:val="left"/>
        <w:pPr>
          <w:tabs>
            <w:tab w:val="num" w:pos="3168"/>
          </w:tabs>
          <w:ind w:left="3168" w:hanging="576"/>
        </w:pPr>
        <w:rPr>
          <w:rFonts w:hint="default"/>
        </w:rPr>
      </w:lvl>
    </w:lvlOverride>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6DD"/>
    <w:rsid w:val="00000BDD"/>
    <w:rsid w:val="0000290F"/>
    <w:rsid w:val="00005404"/>
    <w:rsid w:val="00005D38"/>
    <w:rsid w:val="00006D71"/>
    <w:rsid w:val="00007451"/>
    <w:rsid w:val="0000781A"/>
    <w:rsid w:val="000103A6"/>
    <w:rsid w:val="000134FE"/>
    <w:rsid w:val="00013F14"/>
    <w:rsid w:val="00014FF3"/>
    <w:rsid w:val="000269D4"/>
    <w:rsid w:val="000273E2"/>
    <w:rsid w:val="00027E18"/>
    <w:rsid w:val="00030754"/>
    <w:rsid w:val="00033251"/>
    <w:rsid w:val="00034088"/>
    <w:rsid w:val="00037ACF"/>
    <w:rsid w:val="00040F32"/>
    <w:rsid w:val="00042B20"/>
    <w:rsid w:val="000440D0"/>
    <w:rsid w:val="00046BA8"/>
    <w:rsid w:val="00047E49"/>
    <w:rsid w:val="000508F9"/>
    <w:rsid w:val="000509D9"/>
    <w:rsid w:val="00054917"/>
    <w:rsid w:val="00055A3A"/>
    <w:rsid w:val="000562A7"/>
    <w:rsid w:val="00061371"/>
    <w:rsid w:val="000615F1"/>
    <w:rsid w:val="00062E01"/>
    <w:rsid w:val="00066135"/>
    <w:rsid w:val="00066214"/>
    <w:rsid w:val="00066FD4"/>
    <w:rsid w:val="000677BC"/>
    <w:rsid w:val="00067EF9"/>
    <w:rsid w:val="000710AB"/>
    <w:rsid w:val="00073B63"/>
    <w:rsid w:val="00074336"/>
    <w:rsid w:val="00075A63"/>
    <w:rsid w:val="00075B3D"/>
    <w:rsid w:val="000767A0"/>
    <w:rsid w:val="00081F1B"/>
    <w:rsid w:val="00082B78"/>
    <w:rsid w:val="00086256"/>
    <w:rsid w:val="00087C35"/>
    <w:rsid w:val="00087C4F"/>
    <w:rsid w:val="00096FCA"/>
    <w:rsid w:val="000974DB"/>
    <w:rsid w:val="000A0934"/>
    <w:rsid w:val="000A17CD"/>
    <w:rsid w:val="000B0983"/>
    <w:rsid w:val="000B2D52"/>
    <w:rsid w:val="000B311E"/>
    <w:rsid w:val="000C13B7"/>
    <w:rsid w:val="000C2C7A"/>
    <w:rsid w:val="000C5618"/>
    <w:rsid w:val="000C7F51"/>
    <w:rsid w:val="000D1D00"/>
    <w:rsid w:val="000D31BD"/>
    <w:rsid w:val="000D33E1"/>
    <w:rsid w:val="000D6429"/>
    <w:rsid w:val="000E10F5"/>
    <w:rsid w:val="000E1925"/>
    <w:rsid w:val="000F7D9A"/>
    <w:rsid w:val="00100E1E"/>
    <w:rsid w:val="0010211E"/>
    <w:rsid w:val="00105530"/>
    <w:rsid w:val="00110881"/>
    <w:rsid w:val="00117C5C"/>
    <w:rsid w:val="0012054B"/>
    <w:rsid w:val="00120928"/>
    <w:rsid w:val="001214D9"/>
    <w:rsid w:val="0012156D"/>
    <w:rsid w:val="001216A4"/>
    <w:rsid w:val="001218F7"/>
    <w:rsid w:val="001221AC"/>
    <w:rsid w:val="00123973"/>
    <w:rsid w:val="001248DE"/>
    <w:rsid w:val="0012657D"/>
    <w:rsid w:val="00126839"/>
    <w:rsid w:val="0013091A"/>
    <w:rsid w:val="00132D81"/>
    <w:rsid w:val="00133A87"/>
    <w:rsid w:val="001377E4"/>
    <w:rsid w:val="001410EB"/>
    <w:rsid w:val="00144A4A"/>
    <w:rsid w:val="001537CA"/>
    <w:rsid w:val="00153D13"/>
    <w:rsid w:val="0015428F"/>
    <w:rsid w:val="0015614C"/>
    <w:rsid w:val="00157A64"/>
    <w:rsid w:val="00160CC8"/>
    <w:rsid w:val="00163672"/>
    <w:rsid w:val="001638CE"/>
    <w:rsid w:val="00167E3B"/>
    <w:rsid w:val="0017269E"/>
    <w:rsid w:val="001729F0"/>
    <w:rsid w:val="00173F3C"/>
    <w:rsid w:val="00175F5F"/>
    <w:rsid w:val="00177B30"/>
    <w:rsid w:val="00180CE6"/>
    <w:rsid w:val="00182BAE"/>
    <w:rsid w:val="00187595"/>
    <w:rsid w:val="001918AF"/>
    <w:rsid w:val="001A37E4"/>
    <w:rsid w:val="001A5BB2"/>
    <w:rsid w:val="001A616B"/>
    <w:rsid w:val="001A6A4B"/>
    <w:rsid w:val="001B0251"/>
    <w:rsid w:val="001B1BCC"/>
    <w:rsid w:val="001B2C09"/>
    <w:rsid w:val="001B3144"/>
    <w:rsid w:val="001B52D5"/>
    <w:rsid w:val="001B60C5"/>
    <w:rsid w:val="001B7464"/>
    <w:rsid w:val="001C133C"/>
    <w:rsid w:val="001C16DD"/>
    <w:rsid w:val="001C39E8"/>
    <w:rsid w:val="001D4646"/>
    <w:rsid w:val="001D580E"/>
    <w:rsid w:val="001D598F"/>
    <w:rsid w:val="001D7DA0"/>
    <w:rsid w:val="001E21AB"/>
    <w:rsid w:val="001E3A9D"/>
    <w:rsid w:val="001E6BF3"/>
    <w:rsid w:val="001F1FF8"/>
    <w:rsid w:val="001F4462"/>
    <w:rsid w:val="002005DE"/>
    <w:rsid w:val="00204D7D"/>
    <w:rsid w:val="002128D1"/>
    <w:rsid w:val="0021291B"/>
    <w:rsid w:val="002172F2"/>
    <w:rsid w:val="00220A2B"/>
    <w:rsid w:val="00223CCD"/>
    <w:rsid w:val="00224044"/>
    <w:rsid w:val="00225758"/>
    <w:rsid w:val="00226720"/>
    <w:rsid w:val="00232263"/>
    <w:rsid w:val="00232E0B"/>
    <w:rsid w:val="002333FF"/>
    <w:rsid w:val="002340C8"/>
    <w:rsid w:val="002353D4"/>
    <w:rsid w:val="00240AAD"/>
    <w:rsid w:val="00250084"/>
    <w:rsid w:val="002500C3"/>
    <w:rsid w:val="002503C3"/>
    <w:rsid w:val="00250C90"/>
    <w:rsid w:val="00251072"/>
    <w:rsid w:val="00251368"/>
    <w:rsid w:val="00253D37"/>
    <w:rsid w:val="002548BB"/>
    <w:rsid w:val="002549EA"/>
    <w:rsid w:val="00254D78"/>
    <w:rsid w:val="00265F7D"/>
    <w:rsid w:val="002668B7"/>
    <w:rsid w:val="00266EE9"/>
    <w:rsid w:val="00270771"/>
    <w:rsid w:val="00270DE8"/>
    <w:rsid w:val="00274F8C"/>
    <w:rsid w:val="00275060"/>
    <w:rsid w:val="00277F84"/>
    <w:rsid w:val="0028055F"/>
    <w:rsid w:val="00281D93"/>
    <w:rsid w:val="0028467D"/>
    <w:rsid w:val="00291A9D"/>
    <w:rsid w:val="00295632"/>
    <w:rsid w:val="002961BA"/>
    <w:rsid w:val="002A18F4"/>
    <w:rsid w:val="002A2233"/>
    <w:rsid w:val="002A2BD1"/>
    <w:rsid w:val="002A4EFF"/>
    <w:rsid w:val="002A5B79"/>
    <w:rsid w:val="002A62B6"/>
    <w:rsid w:val="002A6EFC"/>
    <w:rsid w:val="002B5649"/>
    <w:rsid w:val="002B5A06"/>
    <w:rsid w:val="002B6CF0"/>
    <w:rsid w:val="002B764B"/>
    <w:rsid w:val="002C0030"/>
    <w:rsid w:val="002C099E"/>
    <w:rsid w:val="002C4B07"/>
    <w:rsid w:val="002C5EFC"/>
    <w:rsid w:val="002D162C"/>
    <w:rsid w:val="002D1947"/>
    <w:rsid w:val="002D26CE"/>
    <w:rsid w:val="002D26D8"/>
    <w:rsid w:val="002E1054"/>
    <w:rsid w:val="002E1523"/>
    <w:rsid w:val="002E2BC4"/>
    <w:rsid w:val="002E42DD"/>
    <w:rsid w:val="002E4CC2"/>
    <w:rsid w:val="002F069A"/>
    <w:rsid w:val="002F2369"/>
    <w:rsid w:val="002F25B5"/>
    <w:rsid w:val="002F4A5F"/>
    <w:rsid w:val="002F6676"/>
    <w:rsid w:val="00301F2A"/>
    <w:rsid w:val="00302E6B"/>
    <w:rsid w:val="00303276"/>
    <w:rsid w:val="00303C89"/>
    <w:rsid w:val="00305AF3"/>
    <w:rsid w:val="003117D8"/>
    <w:rsid w:val="0031280C"/>
    <w:rsid w:val="00313D71"/>
    <w:rsid w:val="00320E2E"/>
    <w:rsid w:val="00321BBD"/>
    <w:rsid w:val="00323EC1"/>
    <w:rsid w:val="003242E6"/>
    <w:rsid w:val="00325B7D"/>
    <w:rsid w:val="00325D94"/>
    <w:rsid w:val="0032609A"/>
    <w:rsid w:val="00327989"/>
    <w:rsid w:val="00327F80"/>
    <w:rsid w:val="003302C3"/>
    <w:rsid w:val="003329BA"/>
    <w:rsid w:val="00333933"/>
    <w:rsid w:val="0033474D"/>
    <w:rsid w:val="00336891"/>
    <w:rsid w:val="00337BFD"/>
    <w:rsid w:val="003466D7"/>
    <w:rsid w:val="00346A59"/>
    <w:rsid w:val="00353461"/>
    <w:rsid w:val="00353EDF"/>
    <w:rsid w:val="00357F71"/>
    <w:rsid w:val="00360C79"/>
    <w:rsid w:val="00360DDE"/>
    <w:rsid w:val="00365AF6"/>
    <w:rsid w:val="0036747A"/>
    <w:rsid w:val="0037191B"/>
    <w:rsid w:val="003749DF"/>
    <w:rsid w:val="00375BD2"/>
    <w:rsid w:val="00375F5D"/>
    <w:rsid w:val="00382767"/>
    <w:rsid w:val="00386343"/>
    <w:rsid w:val="00386AAF"/>
    <w:rsid w:val="003872C6"/>
    <w:rsid w:val="003910CA"/>
    <w:rsid w:val="00392A4E"/>
    <w:rsid w:val="00393F27"/>
    <w:rsid w:val="00394DBA"/>
    <w:rsid w:val="003975AB"/>
    <w:rsid w:val="0039782B"/>
    <w:rsid w:val="00397B66"/>
    <w:rsid w:val="003A4E23"/>
    <w:rsid w:val="003B12D8"/>
    <w:rsid w:val="003B17F0"/>
    <w:rsid w:val="003C08EF"/>
    <w:rsid w:val="003C5420"/>
    <w:rsid w:val="003D05F4"/>
    <w:rsid w:val="003D6A1C"/>
    <w:rsid w:val="003F44E3"/>
    <w:rsid w:val="003F4EB2"/>
    <w:rsid w:val="003F5021"/>
    <w:rsid w:val="003F6F7E"/>
    <w:rsid w:val="00400DD9"/>
    <w:rsid w:val="0040427E"/>
    <w:rsid w:val="00404867"/>
    <w:rsid w:val="00404ABC"/>
    <w:rsid w:val="004057FC"/>
    <w:rsid w:val="00407EFA"/>
    <w:rsid w:val="00410518"/>
    <w:rsid w:val="0041161E"/>
    <w:rsid w:val="00414189"/>
    <w:rsid w:val="0041542C"/>
    <w:rsid w:val="00416C41"/>
    <w:rsid w:val="00420905"/>
    <w:rsid w:val="00421FD8"/>
    <w:rsid w:val="00424BF3"/>
    <w:rsid w:val="00427158"/>
    <w:rsid w:val="0043085F"/>
    <w:rsid w:val="00433CFB"/>
    <w:rsid w:val="00434CD6"/>
    <w:rsid w:val="00441616"/>
    <w:rsid w:val="0044242D"/>
    <w:rsid w:val="004426C2"/>
    <w:rsid w:val="004433DF"/>
    <w:rsid w:val="0044347A"/>
    <w:rsid w:val="00445CD8"/>
    <w:rsid w:val="00451B53"/>
    <w:rsid w:val="0045510A"/>
    <w:rsid w:val="00455519"/>
    <w:rsid w:val="00457C91"/>
    <w:rsid w:val="0046670C"/>
    <w:rsid w:val="004737E4"/>
    <w:rsid w:val="00477AFE"/>
    <w:rsid w:val="00484FAB"/>
    <w:rsid w:val="00485E1A"/>
    <w:rsid w:val="00494C54"/>
    <w:rsid w:val="0049617D"/>
    <w:rsid w:val="00496D3F"/>
    <w:rsid w:val="004A17B2"/>
    <w:rsid w:val="004A24B3"/>
    <w:rsid w:val="004C028E"/>
    <w:rsid w:val="004C5544"/>
    <w:rsid w:val="004D1264"/>
    <w:rsid w:val="004D4C12"/>
    <w:rsid w:val="004D7191"/>
    <w:rsid w:val="004E0491"/>
    <w:rsid w:val="004E18A4"/>
    <w:rsid w:val="004E2E3A"/>
    <w:rsid w:val="004E70ED"/>
    <w:rsid w:val="004E7118"/>
    <w:rsid w:val="004F01C9"/>
    <w:rsid w:val="004F32AB"/>
    <w:rsid w:val="004F4292"/>
    <w:rsid w:val="004F5146"/>
    <w:rsid w:val="005001E7"/>
    <w:rsid w:val="005003D2"/>
    <w:rsid w:val="0050467D"/>
    <w:rsid w:val="00505F42"/>
    <w:rsid w:val="00507AAE"/>
    <w:rsid w:val="00510902"/>
    <w:rsid w:val="00510CB8"/>
    <w:rsid w:val="00510DAB"/>
    <w:rsid w:val="00513378"/>
    <w:rsid w:val="00513456"/>
    <w:rsid w:val="005162AF"/>
    <w:rsid w:val="005213FF"/>
    <w:rsid w:val="0052292E"/>
    <w:rsid w:val="005278B6"/>
    <w:rsid w:val="00533836"/>
    <w:rsid w:val="00533D32"/>
    <w:rsid w:val="005361A4"/>
    <w:rsid w:val="005407C3"/>
    <w:rsid w:val="00541C1A"/>
    <w:rsid w:val="00541FAD"/>
    <w:rsid w:val="005448B5"/>
    <w:rsid w:val="00546700"/>
    <w:rsid w:val="00547128"/>
    <w:rsid w:val="00553E91"/>
    <w:rsid w:val="005561B6"/>
    <w:rsid w:val="0056058D"/>
    <w:rsid w:val="00570271"/>
    <w:rsid w:val="005728A7"/>
    <w:rsid w:val="005747A2"/>
    <w:rsid w:val="00576424"/>
    <w:rsid w:val="00576524"/>
    <w:rsid w:val="0057783C"/>
    <w:rsid w:val="00585152"/>
    <w:rsid w:val="00590065"/>
    <w:rsid w:val="00593BA7"/>
    <w:rsid w:val="0059419D"/>
    <w:rsid w:val="005970FA"/>
    <w:rsid w:val="005A4D2C"/>
    <w:rsid w:val="005A7D6D"/>
    <w:rsid w:val="005B1DF7"/>
    <w:rsid w:val="005B2BD6"/>
    <w:rsid w:val="005B5DB5"/>
    <w:rsid w:val="005C29C8"/>
    <w:rsid w:val="005C3FF8"/>
    <w:rsid w:val="005C5F3A"/>
    <w:rsid w:val="005D4953"/>
    <w:rsid w:val="005D5A9F"/>
    <w:rsid w:val="005D6E2D"/>
    <w:rsid w:val="005D7A65"/>
    <w:rsid w:val="005E0019"/>
    <w:rsid w:val="005E0B27"/>
    <w:rsid w:val="005E375A"/>
    <w:rsid w:val="005E3A8A"/>
    <w:rsid w:val="005E4F1F"/>
    <w:rsid w:val="005E6D48"/>
    <w:rsid w:val="005F2936"/>
    <w:rsid w:val="006002C8"/>
    <w:rsid w:val="00603920"/>
    <w:rsid w:val="00604620"/>
    <w:rsid w:val="00604770"/>
    <w:rsid w:val="0061062B"/>
    <w:rsid w:val="006126C4"/>
    <w:rsid w:val="00615125"/>
    <w:rsid w:val="00615B0B"/>
    <w:rsid w:val="00617396"/>
    <w:rsid w:val="00623E97"/>
    <w:rsid w:val="00627477"/>
    <w:rsid w:val="00627948"/>
    <w:rsid w:val="00627AFA"/>
    <w:rsid w:val="00631075"/>
    <w:rsid w:val="006327F3"/>
    <w:rsid w:val="00633536"/>
    <w:rsid w:val="00635BEE"/>
    <w:rsid w:val="00641DC9"/>
    <w:rsid w:val="00642093"/>
    <w:rsid w:val="00642936"/>
    <w:rsid w:val="00646049"/>
    <w:rsid w:val="006511D4"/>
    <w:rsid w:val="00651CFB"/>
    <w:rsid w:val="00654B43"/>
    <w:rsid w:val="00657F9F"/>
    <w:rsid w:val="00662E56"/>
    <w:rsid w:val="00663522"/>
    <w:rsid w:val="00664706"/>
    <w:rsid w:val="006647F4"/>
    <w:rsid w:val="006724E5"/>
    <w:rsid w:val="00672589"/>
    <w:rsid w:val="00672C8F"/>
    <w:rsid w:val="00673599"/>
    <w:rsid w:val="00674990"/>
    <w:rsid w:val="00677EE3"/>
    <w:rsid w:val="00683071"/>
    <w:rsid w:val="0068496E"/>
    <w:rsid w:val="006859AC"/>
    <w:rsid w:val="006873B1"/>
    <w:rsid w:val="0068750C"/>
    <w:rsid w:val="006925D1"/>
    <w:rsid w:val="00693DD0"/>
    <w:rsid w:val="00694DD0"/>
    <w:rsid w:val="006A47BA"/>
    <w:rsid w:val="006A4904"/>
    <w:rsid w:val="006A6F6A"/>
    <w:rsid w:val="006B0452"/>
    <w:rsid w:val="006B0852"/>
    <w:rsid w:val="006B3BC3"/>
    <w:rsid w:val="006B3BCA"/>
    <w:rsid w:val="006C02C3"/>
    <w:rsid w:val="006C0CDD"/>
    <w:rsid w:val="006C2F70"/>
    <w:rsid w:val="006C74A7"/>
    <w:rsid w:val="006C7ADA"/>
    <w:rsid w:val="006D0302"/>
    <w:rsid w:val="006D0D8F"/>
    <w:rsid w:val="006D5A75"/>
    <w:rsid w:val="006D6543"/>
    <w:rsid w:val="006E173E"/>
    <w:rsid w:val="006E4BCE"/>
    <w:rsid w:val="006E5E0E"/>
    <w:rsid w:val="006E600B"/>
    <w:rsid w:val="006E7900"/>
    <w:rsid w:val="006F01BD"/>
    <w:rsid w:val="006F09F5"/>
    <w:rsid w:val="006F1304"/>
    <w:rsid w:val="006F1B69"/>
    <w:rsid w:val="006F4BD3"/>
    <w:rsid w:val="00702C8D"/>
    <w:rsid w:val="00706441"/>
    <w:rsid w:val="0070725E"/>
    <w:rsid w:val="007111EC"/>
    <w:rsid w:val="0071160E"/>
    <w:rsid w:val="00715194"/>
    <w:rsid w:val="007153DD"/>
    <w:rsid w:val="00716B2F"/>
    <w:rsid w:val="007213BD"/>
    <w:rsid w:val="0072618E"/>
    <w:rsid w:val="00727D0A"/>
    <w:rsid w:val="00733153"/>
    <w:rsid w:val="00735045"/>
    <w:rsid w:val="007441AE"/>
    <w:rsid w:val="00745D1A"/>
    <w:rsid w:val="00747174"/>
    <w:rsid w:val="00747287"/>
    <w:rsid w:val="0075060C"/>
    <w:rsid w:val="00751F3C"/>
    <w:rsid w:val="007539F5"/>
    <w:rsid w:val="00755512"/>
    <w:rsid w:val="00755660"/>
    <w:rsid w:val="00755929"/>
    <w:rsid w:val="0076185D"/>
    <w:rsid w:val="007625AB"/>
    <w:rsid w:val="007665D0"/>
    <w:rsid w:val="00766BB0"/>
    <w:rsid w:val="00777687"/>
    <w:rsid w:val="007800BE"/>
    <w:rsid w:val="00781655"/>
    <w:rsid w:val="007826D0"/>
    <w:rsid w:val="007826F1"/>
    <w:rsid w:val="00783070"/>
    <w:rsid w:val="007836A0"/>
    <w:rsid w:val="0079432B"/>
    <w:rsid w:val="00795050"/>
    <w:rsid w:val="00796607"/>
    <w:rsid w:val="007A25F3"/>
    <w:rsid w:val="007A72D6"/>
    <w:rsid w:val="007B242F"/>
    <w:rsid w:val="007C7C64"/>
    <w:rsid w:val="007D3AD5"/>
    <w:rsid w:val="007D3F85"/>
    <w:rsid w:val="007D79BB"/>
    <w:rsid w:val="007E001B"/>
    <w:rsid w:val="007E07E9"/>
    <w:rsid w:val="007E0916"/>
    <w:rsid w:val="007E165D"/>
    <w:rsid w:val="007E63A1"/>
    <w:rsid w:val="007E67AB"/>
    <w:rsid w:val="007E754C"/>
    <w:rsid w:val="007F0306"/>
    <w:rsid w:val="007F7691"/>
    <w:rsid w:val="00800DDD"/>
    <w:rsid w:val="00801DAF"/>
    <w:rsid w:val="008023D4"/>
    <w:rsid w:val="00803B58"/>
    <w:rsid w:val="0080736F"/>
    <w:rsid w:val="00815620"/>
    <w:rsid w:val="00827AC0"/>
    <w:rsid w:val="008304E8"/>
    <w:rsid w:val="00832559"/>
    <w:rsid w:val="008379F8"/>
    <w:rsid w:val="00844097"/>
    <w:rsid w:val="00847EC8"/>
    <w:rsid w:val="008509DA"/>
    <w:rsid w:val="00852D1A"/>
    <w:rsid w:val="00853276"/>
    <w:rsid w:val="008552AE"/>
    <w:rsid w:val="00856D02"/>
    <w:rsid w:val="00857644"/>
    <w:rsid w:val="00860DB3"/>
    <w:rsid w:val="008633E1"/>
    <w:rsid w:val="0086342F"/>
    <w:rsid w:val="00864639"/>
    <w:rsid w:val="008733BE"/>
    <w:rsid w:val="00873BEE"/>
    <w:rsid w:val="0087517D"/>
    <w:rsid w:val="0087569D"/>
    <w:rsid w:val="00876023"/>
    <w:rsid w:val="00876392"/>
    <w:rsid w:val="00885ACB"/>
    <w:rsid w:val="0088629D"/>
    <w:rsid w:val="00886C46"/>
    <w:rsid w:val="0088700C"/>
    <w:rsid w:val="0089292C"/>
    <w:rsid w:val="00892D06"/>
    <w:rsid w:val="00894C84"/>
    <w:rsid w:val="008A0449"/>
    <w:rsid w:val="008A2C77"/>
    <w:rsid w:val="008A345F"/>
    <w:rsid w:val="008A446A"/>
    <w:rsid w:val="008A7323"/>
    <w:rsid w:val="008B13EC"/>
    <w:rsid w:val="008C1B66"/>
    <w:rsid w:val="008C31FC"/>
    <w:rsid w:val="008D04EF"/>
    <w:rsid w:val="008D21CA"/>
    <w:rsid w:val="008D4B1C"/>
    <w:rsid w:val="008D6568"/>
    <w:rsid w:val="008E35EC"/>
    <w:rsid w:val="008E4138"/>
    <w:rsid w:val="008F3CBD"/>
    <w:rsid w:val="008F76CC"/>
    <w:rsid w:val="008F7E02"/>
    <w:rsid w:val="0090118B"/>
    <w:rsid w:val="00907606"/>
    <w:rsid w:val="009100E7"/>
    <w:rsid w:val="009115B6"/>
    <w:rsid w:val="009117BB"/>
    <w:rsid w:val="00915015"/>
    <w:rsid w:val="00915BF2"/>
    <w:rsid w:val="009164BA"/>
    <w:rsid w:val="00921F66"/>
    <w:rsid w:val="00922C4A"/>
    <w:rsid w:val="00922FD5"/>
    <w:rsid w:val="00923D37"/>
    <w:rsid w:val="009243E0"/>
    <w:rsid w:val="009256CF"/>
    <w:rsid w:val="00926614"/>
    <w:rsid w:val="009266BA"/>
    <w:rsid w:val="00926BDB"/>
    <w:rsid w:val="00944A7B"/>
    <w:rsid w:val="00950534"/>
    <w:rsid w:val="00952440"/>
    <w:rsid w:val="00956197"/>
    <w:rsid w:val="00963498"/>
    <w:rsid w:val="00963726"/>
    <w:rsid w:val="00963914"/>
    <w:rsid w:val="00965459"/>
    <w:rsid w:val="00970CBE"/>
    <w:rsid w:val="00970E40"/>
    <w:rsid w:val="00971577"/>
    <w:rsid w:val="0097356E"/>
    <w:rsid w:val="009763F8"/>
    <w:rsid w:val="0097705B"/>
    <w:rsid w:val="00982F71"/>
    <w:rsid w:val="00986643"/>
    <w:rsid w:val="00987662"/>
    <w:rsid w:val="009902D2"/>
    <w:rsid w:val="00990366"/>
    <w:rsid w:val="0099052B"/>
    <w:rsid w:val="009946DF"/>
    <w:rsid w:val="009951B8"/>
    <w:rsid w:val="009952EA"/>
    <w:rsid w:val="009969B0"/>
    <w:rsid w:val="009A12D8"/>
    <w:rsid w:val="009A19B7"/>
    <w:rsid w:val="009A2367"/>
    <w:rsid w:val="009A2B55"/>
    <w:rsid w:val="009A4A8D"/>
    <w:rsid w:val="009A5212"/>
    <w:rsid w:val="009A5736"/>
    <w:rsid w:val="009A75AC"/>
    <w:rsid w:val="009B5687"/>
    <w:rsid w:val="009B6013"/>
    <w:rsid w:val="009B6E5B"/>
    <w:rsid w:val="009B70FF"/>
    <w:rsid w:val="009B77CD"/>
    <w:rsid w:val="009C26AA"/>
    <w:rsid w:val="009C31CF"/>
    <w:rsid w:val="009C5A87"/>
    <w:rsid w:val="009D0369"/>
    <w:rsid w:val="009D107C"/>
    <w:rsid w:val="009D4ABF"/>
    <w:rsid w:val="009E14D0"/>
    <w:rsid w:val="009E6336"/>
    <w:rsid w:val="009E6C12"/>
    <w:rsid w:val="009F03AC"/>
    <w:rsid w:val="009F1C68"/>
    <w:rsid w:val="00A0223B"/>
    <w:rsid w:val="00A03482"/>
    <w:rsid w:val="00A0362F"/>
    <w:rsid w:val="00A03A00"/>
    <w:rsid w:val="00A03E94"/>
    <w:rsid w:val="00A12558"/>
    <w:rsid w:val="00A131AC"/>
    <w:rsid w:val="00A142E5"/>
    <w:rsid w:val="00A155DE"/>
    <w:rsid w:val="00A20F77"/>
    <w:rsid w:val="00A215E3"/>
    <w:rsid w:val="00A247D4"/>
    <w:rsid w:val="00A25637"/>
    <w:rsid w:val="00A27E61"/>
    <w:rsid w:val="00A31C49"/>
    <w:rsid w:val="00A31CF9"/>
    <w:rsid w:val="00A32183"/>
    <w:rsid w:val="00A334AE"/>
    <w:rsid w:val="00A35732"/>
    <w:rsid w:val="00A41C22"/>
    <w:rsid w:val="00A433E0"/>
    <w:rsid w:val="00A434F1"/>
    <w:rsid w:val="00A43A39"/>
    <w:rsid w:val="00A44F3A"/>
    <w:rsid w:val="00A453F3"/>
    <w:rsid w:val="00A47FD5"/>
    <w:rsid w:val="00A543F0"/>
    <w:rsid w:val="00A54E0D"/>
    <w:rsid w:val="00A54F88"/>
    <w:rsid w:val="00A55FBF"/>
    <w:rsid w:val="00A57587"/>
    <w:rsid w:val="00A600BD"/>
    <w:rsid w:val="00A6116E"/>
    <w:rsid w:val="00A61C36"/>
    <w:rsid w:val="00A62820"/>
    <w:rsid w:val="00A64659"/>
    <w:rsid w:val="00A64E37"/>
    <w:rsid w:val="00A65628"/>
    <w:rsid w:val="00A7108F"/>
    <w:rsid w:val="00A71F81"/>
    <w:rsid w:val="00A7359D"/>
    <w:rsid w:val="00A7664F"/>
    <w:rsid w:val="00A807D0"/>
    <w:rsid w:val="00A83996"/>
    <w:rsid w:val="00A848F8"/>
    <w:rsid w:val="00A86081"/>
    <w:rsid w:val="00A90CD7"/>
    <w:rsid w:val="00A92093"/>
    <w:rsid w:val="00A92664"/>
    <w:rsid w:val="00A93D5C"/>
    <w:rsid w:val="00A94949"/>
    <w:rsid w:val="00A968AE"/>
    <w:rsid w:val="00AA065E"/>
    <w:rsid w:val="00AA3B6C"/>
    <w:rsid w:val="00AA5A02"/>
    <w:rsid w:val="00AB4664"/>
    <w:rsid w:val="00AB4F33"/>
    <w:rsid w:val="00AD0C2B"/>
    <w:rsid w:val="00AD3763"/>
    <w:rsid w:val="00AD61BF"/>
    <w:rsid w:val="00AD7D5D"/>
    <w:rsid w:val="00AE1A69"/>
    <w:rsid w:val="00AE2FA2"/>
    <w:rsid w:val="00AE32EA"/>
    <w:rsid w:val="00AE50BA"/>
    <w:rsid w:val="00AE7737"/>
    <w:rsid w:val="00AF2015"/>
    <w:rsid w:val="00AF2227"/>
    <w:rsid w:val="00AF2487"/>
    <w:rsid w:val="00AF5985"/>
    <w:rsid w:val="00AF636A"/>
    <w:rsid w:val="00B0367A"/>
    <w:rsid w:val="00B04E62"/>
    <w:rsid w:val="00B100CE"/>
    <w:rsid w:val="00B138B9"/>
    <w:rsid w:val="00B13A3E"/>
    <w:rsid w:val="00B140CD"/>
    <w:rsid w:val="00B201E3"/>
    <w:rsid w:val="00B20351"/>
    <w:rsid w:val="00B22B0B"/>
    <w:rsid w:val="00B231A5"/>
    <w:rsid w:val="00B26834"/>
    <w:rsid w:val="00B26F1B"/>
    <w:rsid w:val="00B30E44"/>
    <w:rsid w:val="00B32593"/>
    <w:rsid w:val="00B33A75"/>
    <w:rsid w:val="00B34C57"/>
    <w:rsid w:val="00B43095"/>
    <w:rsid w:val="00B44E62"/>
    <w:rsid w:val="00B4503D"/>
    <w:rsid w:val="00B526FF"/>
    <w:rsid w:val="00B605FE"/>
    <w:rsid w:val="00B611E1"/>
    <w:rsid w:val="00B631C9"/>
    <w:rsid w:val="00B63419"/>
    <w:rsid w:val="00B64039"/>
    <w:rsid w:val="00B6427A"/>
    <w:rsid w:val="00B66357"/>
    <w:rsid w:val="00B66A09"/>
    <w:rsid w:val="00B67E09"/>
    <w:rsid w:val="00B757A1"/>
    <w:rsid w:val="00B77561"/>
    <w:rsid w:val="00B82A39"/>
    <w:rsid w:val="00B84E1B"/>
    <w:rsid w:val="00B8630A"/>
    <w:rsid w:val="00B871F4"/>
    <w:rsid w:val="00B90BC0"/>
    <w:rsid w:val="00B96E01"/>
    <w:rsid w:val="00BA3DF9"/>
    <w:rsid w:val="00BB272B"/>
    <w:rsid w:val="00BB2E86"/>
    <w:rsid w:val="00BB462F"/>
    <w:rsid w:val="00BC6EBD"/>
    <w:rsid w:val="00BD38AA"/>
    <w:rsid w:val="00BD43B4"/>
    <w:rsid w:val="00BD7A85"/>
    <w:rsid w:val="00BE2D03"/>
    <w:rsid w:val="00BE36C9"/>
    <w:rsid w:val="00BE4005"/>
    <w:rsid w:val="00BE6369"/>
    <w:rsid w:val="00BE665E"/>
    <w:rsid w:val="00BF4366"/>
    <w:rsid w:val="00BF5D1A"/>
    <w:rsid w:val="00BF6351"/>
    <w:rsid w:val="00C03A1F"/>
    <w:rsid w:val="00C053D7"/>
    <w:rsid w:val="00C1195E"/>
    <w:rsid w:val="00C1235D"/>
    <w:rsid w:val="00C12B4F"/>
    <w:rsid w:val="00C1621E"/>
    <w:rsid w:val="00C20D2C"/>
    <w:rsid w:val="00C22A0B"/>
    <w:rsid w:val="00C27549"/>
    <w:rsid w:val="00C37184"/>
    <w:rsid w:val="00C41159"/>
    <w:rsid w:val="00C43070"/>
    <w:rsid w:val="00C4518D"/>
    <w:rsid w:val="00C4612F"/>
    <w:rsid w:val="00C468D0"/>
    <w:rsid w:val="00C5037F"/>
    <w:rsid w:val="00C51974"/>
    <w:rsid w:val="00C52393"/>
    <w:rsid w:val="00C53996"/>
    <w:rsid w:val="00C54CF9"/>
    <w:rsid w:val="00C574F7"/>
    <w:rsid w:val="00C62BB6"/>
    <w:rsid w:val="00C63283"/>
    <w:rsid w:val="00C63690"/>
    <w:rsid w:val="00C6438B"/>
    <w:rsid w:val="00C66BCB"/>
    <w:rsid w:val="00C7054D"/>
    <w:rsid w:val="00C7096B"/>
    <w:rsid w:val="00C720FF"/>
    <w:rsid w:val="00C72EE5"/>
    <w:rsid w:val="00C844B7"/>
    <w:rsid w:val="00C86BD1"/>
    <w:rsid w:val="00C87894"/>
    <w:rsid w:val="00C94D10"/>
    <w:rsid w:val="00CA0B40"/>
    <w:rsid w:val="00CB2A7D"/>
    <w:rsid w:val="00CB4EA0"/>
    <w:rsid w:val="00CB7B74"/>
    <w:rsid w:val="00CC1386"/>
    <w:rsid w:val="00CC209F"/>
    <w:rsid w:val="00CD2FFA"/>
    <w:rsid w:val="00CE12E0"/>
    <w:rsid w:val="00CE316A"/>
    <w:rsid w:val="00CE50BF"/>
    <w:rsid w:val="00CE67E6"/>
    <w:rsid w:val="00CF073A"/>
    <w:rsid w:val="00CF11E6"/>
    <w:rsid w:val="00D0128D"/>
    <w:rsid w:val="00D037B5"/>
    <w:rsid w:val="00D0396B"/>
    <w:rsid w:val="00D03A54"/>
    <w:rsid w:val="00D05639"/>
    <w:rsid w:val="00D058CD"/>
    <w:rsid w:val="00D05B0C"/>
    <w:rsid w:val="00D06B95"/>
    <w:rsid w:val="00D07D06"/>
    <w:rsid w:val="00D12A9E"/>
    <w:rsid w:val="00D1338D"/>
    <w:rsid w:val="00D14756"/>
    <w:rsid w:val="00D17885"/>
    <w:rsid w:val="00D204F3"/>
    <w:rsid w:val="00D208D0"/>
    <w:rsid w:val="00D232F2"/>
    <w:rsid w:val="00D263E8"/>
    <w:rsid w:val="00D2644E"/>
    <w:rsid w:val="00D26C9D"/>
    <w:rsid w:val="00D30ADC"/>
    <w:rsid w:val="00D3198D"/>
    <w:rsid w:val="00D33846"/>
    <w:rsid w:val="00D3398B"/>
    <w:rsid w:val="00D3540B"/>
    <w:rsid w:val="00D3604C"/>
    <w:rsid w:val="00D36D21"/>
    <w:rsid w:val="00D37013"/>
    <w:rsid w:val="00D4046D"/>
    <w:rsid w:val="00D43169"/>
    <w:rsid w:val="00D525FA"/>
    <w:rsid w:val="00D629CE"/>
    <w:rsid w:val="00D63A27"/>
    <w:rsid w:val="00D65BED"/>
    <w:rsid w:val="00D663AB"/>
    <w:rsid w:val="00D668B8"/>
    <w:rsid w:val="00D72D72"/>
    <w:rsid w:val="00D73472"/>
    <w:rsid w:val="00D76F8F"/>
    <w:rsid w:val="00D918C2"/>
    <w:rsid w:val="00D91E4F"/>
    <w:rsid w:val="00DA1556"/>
    <w:rsid w:val="00DA1B87"/>
    <w:rsid w:val="00DA212C"/>
    <w:rsid w:val="00DA2B87"/>
    <w:rsid w:val="00DA30A8"/>
    <w:rsid w:val="00DA42A4"/>
    <w:rsid w:val="00DA5AB0"/>
    <w:rsid w:val="00DB0157"/>
    <w:rsid w:val="00DB3DA5"/>
    <w:rsid w:val="00DB40B3"/>
    <w:rsid w:val="00DB5F42"/>
    <w:rsid w:val="00DC0B55"/>
    <w:rsid w:val="00DC5E52"/>
    <w:rsid w:val="00DC694F"/>
    <w:rsid w:val="00DC71A8"/>
    <w:rsid w:val="00DD08F8"/>
    <w:rsid w:val="00DD3495"/>
    <w:rsid w:val="00DD3DE4"/>
    <w:rsid w:val="00DD7C12"/>
    <w:rsid w:val="00DE385A"/>
    <w:rsid w:val="00DF024F"/>
    <w:rsid w:val="00DF1B86"/>
    <w:rsid w:val="00DF2C6A"/>
    <w:rsid w:val="00DF4474"/>
    <w:rsid w:val="00DF6B2D"/>
    <w:rsid w:val="00DF73F8"/>
    <w:rsid w:val="00E02097"/>
    <w:rsid w:val="00E0209F"/>
    <w:rsid w:val="00E02523"/>
    <w:rsid w:val="00E05A6C"/>
    <w:rsid w:val="00E1292E"/>
    <w:rsid w:val="00E146ED"/>
    <w:rsid w:val="00E14B4D"/>
    <w:rsid w:val="00E15B95"/>
    <w:rsid w:val="00E21962"/>
    <w:rsid w:val="00E24BBB"/>
    <w:rsid w:val="00E25AFF"/>
    <w:rsid w:val="00E31DC5"/>
    <w:rsid w:val="00E330A8"/>
    <w:rsid w:val="00E378D9"/>
    <w:rsid w:val="00E45C40"/>
    <w:rsid w:val="00E45FC1"/>
    <w:rsid w:val="00E47CD4"/>
    <w:rsid w:val="00E50781"/>
    <w:rsid w:val="00E51839"/>
    <w:rsid w:val="00E546C0"/>
    <w:rsid w:val="00E550E8"/>
    <w:rsid w:val="00E575DB"/>
    <w:rsid w:val="00E608BF"/>
    <w:rsid w:val="00E61FFC"/>
    <w:rsid w:val="00E65F20"/>
    <w:rsid w:val="00E66188"/>
    <w:rsid w:val="00E67533"/>
    <w:rsid w:val="00E70F61"/>
    <w:rsid w:val="00E72506"/>
    <w:rsid w:val="00E73092"/>
    <w:rsid w:val="00E74ADC"/>
    <w:rsid w:val="00E75AF2"/>
    <w:rsid w:val="00E75E79"/>
    <w:rsid w:val="00E846EE"/>
    <w:rsid w:val="00E862E6"/>
    <w:rsid w:val="00E87E9F"/>
    <w:rsid w:val="00E934B3"/>
    <w:rsid w:val="00E97B53"/>
    <w:rsid w:val="00EA0756"/>
    <w:rsid w:val="00EA499B"/>
    <w:rsid w:val="00EA542A"/>
    <w:rsid w:val="00EB1490"/>
    <w:rsid w:val="00EB297F"/>
    <w:rsid w:val="00EB3420"/>
    <w:rsid w:val="00EB3853"/>
    <w:rsid w:val="00EB40D1"/>
    <w:rsid w:val="00EB748F"/>
    <w:rsid w:val="00EB7A32"/>
    <w:rsid w:val="00EC611B"/>
    <w:rsid w:val="00ED0ABE"/>
    <w:rsid w:val="00ED122A"/>
    <w:rsid w:val="00ED287A"/>
    <w:rsid w:val="00ED4119"/>
    <w:rsid w:val="00EE0E91"/>
    <w:rsid w:val="00EE1F40"/>
    <w:rsid w:val="00EE261D"/>
    <w:rsid w:val="00EE4185"/>
    <w:rsid w:val="00EF1868"/>
    <w:rsid w:val="00EF1EEA"/>
    <w:rsid w:val="00EF642A"/>
    <w:rsid w:val="00EF7BE9"/>
    <w:rsid w:val="00F02389"/>
    <w:rsid w:val="00F03922"/>
    <w:rsid w:val="00F04688"/>
    <w:rsid w:val="00F078CD"/>
    <w:rsid w:val="00F07B0B"/>
    <w:rsid w:val="00F10345"/>
    <w:rsid w:val="00F1292B"/>
    <w:rsid w:val="00F20930"/>
    <w:rsid w:val="00F23056"/>
    <w:rsid w:val="00F238C8"/>
    <w:rsid w:val="00F23A6D"/>
    <w:rsid w:val="00F24CDA"/>
    <w:rsid w:val="00F27A10"/>
    <w:rsid w:val="00F27A62"/>
    <w:rsid w:val="00F36C05"/>
    <w:rsid w:val="00F45679"/>
    <w:rsid w:val="00F533B3"/>
    <w:rsid w:val="00F54D7F"/>
    <w:rsid w:val="00F65F73"/>
    <w:rsid w:val="00F67529"/>
    <w:rsid w:val="00F720E0"/>
    <w:rsid w:val="00F816CE"/>
    <w:rsid w:val="00F82793"/>
    <w:rsid w:val="00F86020"/>
    <w:rsid w:val="00F87506"/>
    <w:rsid w:val="00F87F94"/>
    <w:rsid w:val="00F940D3"/>
    <w:rsid w:val="00F95344"/>
    <w:rsid w:val="00FA20E6"/>
    <w:rsid w:val="00FA6DA6"/>
    <w:rsid w:val="00FA78C6"/>
    <w:rsid w:val="00FB68DE"/>
    <w:rsid w:val="00FC11C6"/>
    <w:rsid w:val="00FC133C"/>
    <w:rsid w:val="00FC4CC6"/>
    <w:rsid w:val="00FD174D"/>
    <w:rsid w:val="00FD35EA"/>
    <w:rsid w:val="00FD3B7C"/>
    <w:rsid w:val="00FD412B"/>
    <w:rsid w:val="00FD5355"/>
    <w:rsid w:val="00FD631F"/>
    <w:rsid w:val="00FE0FAB"/>
    <w:rsid w:val="00FE169D"/>
    <w:rsid w:val="00FE7A2B"/>
    <w:rsid w:val="00FE7B5B"/>
    <w:rsid w:val="00FF2FCC"/>
    <w:rsid w:val="00FF30EE"/>
    <w:rsid w:val="00FF6C4F"/>
    <w:rsid w:val="00FF72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439CE6"/>
  <w15:chartTrackingRefBased/>
  <w15:docId w15:val="{15BC4839-5E3E-47A5-883D-58986B62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947"/>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DD08F8"/>
    <w:pPr>
      <w:keepNext/>
      <w:suppressAutoHyphens/>
      <w:spacing w:before="240"/>
      <w:jc w:val="both"/>
      <w:outlineLvl w:val="0"/>
    </w:pPr>
  </w:style>
  <w:style w:type="paragraph" w:customStyle="1" w:styleId="ART">
    <w:name w:val="ART"/>
    <w:basedOn w:val="Normal"/>
    <w:next w:val="PR1"/>
    <w:rsid w:val="00FC11C6"/>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rPr>
      <w:lang w:val="x-none" w:eastAsia="x-none"/>
    </w:rPr>
  </w:style>
  <w:style w:type="paragraph" w:customStyle="1" w:styleId="PR2">
    <w:name w:val="PR2"/>
    <w:basedOn w:val="Normal"/>
    <w:link w:val="PR2Char"/>
    <w:pPr>
      <w:numPr>
        <w:ilvl w:val="5"/>
        <w:numId w:val="1"/>
      </w:numPr>
      <w:suppressAutoHyphens/>
      <w:jc w:val="both"/>
      <w:outlineLvl w:val="3"/>
    </w:pPr>
    <w:rPr>
      <w:lang w:val="x-none" w:eastAsia="x-none"/>
    </w:rPr>
  </w:style>
  <w:style w:type="paragraph" w:customStyle="1" w:styleId="PR3">
    <w:name w:val="PR3"/>
    <w:basedOn w:val="Normal"/>
    <w:link w:val="PR3Char"/>
    <w:pPr>
      <w:numPr>
        <w:ilvl w:val="6"/>
        <w:numId w:val="1"/>
      </w:numPr>
      <w:suppressAutoHyphens/>
      <w:jc w:val="both"/>
      <w:outlineLvl w:val="4"/>
    </w:pPr>
  </w:style>
  <w:style w:type="paragraph" w:customStyle="1" w:styleId="EOS">
    <w:name w:val="EOS"/>
    <w:basedOn w:val="Normal"/>
    <w:pPr>
      <w:suppressAutoHyphens/>
      <w:spacing w:before="240"/>
      <w:jc w:val="both"/>
    </w:pPr>
  </w:style>
  <w:style w:type="paragraph" w:customStyle="1" w:styleId="CMT">
    <w:name w:val="CMT"/>
    <w:basedOn w:val="Normal"/>
    <w:link w:val="CMTChar"/>
    <w:rsid w:val="002D1947"/>
    <w:pPr>
      <w:pBdr>
        <w:top w:val="single" w:sz="4" w:space="2" w:color="666699"/>
        <w:left w:val="single" w:sz="4" w:space="4" w:color="666699"/>
        <w:bottom w:val="single" w:sz="4" w:space="2" w:color="666699"/>
        <w:right w:val="single" w:sz="4" w:space="4" w:color="666699"/>
      </w:pBdr>
      <w:suppressAutoHyphens/>
      <w:spacing w:before="240"/>
      <w:ind w:left="446"/>
      <w:jc w:val="both"/>
    </w:pPr>
    <w:rPr>
      <w:color w:val="666699"/>
      <w:sz w:val="18"/>
      <w:lang w:val="x-none" w:eastAsia="x-none"/>
    </w:rPr>
  </w:style>
  <w:style w:type="character" w:customStyle="1" w:styleId="CMTChar">
    <w:name w:val="CMT Char"/>
    <w:link w:val="CMT"/>
    <w:rsid w:val="002D1947"/>
    <w:rPr>
      <w:rFonts w:ascii="Arial" w:hAnsi="Arial"/>
      <w:color w:val="666699"/>
      <w:sz w:val="18"/>
      <w:lang w:val="x-none" w:eastAsia="x-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1440" w:hanging="1440"/>
    </w:pPr>
    <w:rPr>
      <w:szCs w:val="24"/>
    </w:rPr>
  </w:style>
  <w:style w:type="character" w:styleId="Hyperlink">
    <w:name w:val="Hyperlink"/>
    <w:rsid w:val="002353D4"/>
    <w:rPr>
      <w:color w:val="0000FF"/>
      <w:u w:val="single"/>
    </w:rPr>
  </w:style>
  <w:style w:type="character" w:styleId="Strong">
    <w:name w:val="Strong"/>
    <w:qFormat/>
    <w:rsid w:val="002353D4"/>
    <w:rPr>
      <w:b/>
      <w:bCs/>
    </w:rPr>
  </w:style>
  <w:style w:type="character" w:styleId="Emphasis">
    <w:name w:val="Emphasis"/>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D43169"/>
    <w:pPr>
      <w:pBdr>
        <w:top w:val="single" w:sz="6" w:space="1" w:color="auto" w:shadow="1"/>
        <w:left w:val="single" w:sz="6" w:space="4" w:color="auto" w:shadow="1"/>
        <w:bottom w:val="single" w:sz="6" w:space="1" w:color="auto" w:shadow="1"/>
        <w:right w:val="single" w:sz="6" w:space="4" w:color="auto" w:shadow="1"/>
      </w:pBdr>
      <w:shd w:val="pct20" w:color="FFFF00" w:fill="FFFFFF"/>
      <w:spacing w:before="120"/>
      <w:ind w:left="360"/>
    </w:pPr>
    <w:rPr>
      <w:color w:val="000000"/>
      <w:sz w:val="18"/>
      <w:lang w:val="x-none" w:eastAsia="x-none"/>
    </w:rPr>
  </w:style>
  <w:style w:type="character" w:customStyle="1" w:styleId="PRNChar">
    <w:name w:val="PRN Char"/>
    <w:link w:val="PRN"/>
    <w:rsid w:val="00D43169"/>
    <w:rPr>
      <w:rFonts w:ascii="Arial" w:hAnsi="Arial"/>
      <w:color w:val="000000"/>
      <w:sz w:val="18"/>
      <w:shd w:val="pct20" w:color="FFFF00" w:fill="FFFFFF"/>
      <w:lang w:val="x-none" w:eastAsia="x-none"/>
    </w:rPr>
  </w:style>
  <w:style w:type="character" w:customStyle="1" w:styleId="SI">
    <w:name w:val="SI"/>
    <w:rsid w:val="00E0209F"/>
    <w:rPr>
      <w:rFonts w:cs="Times New Roman"/>
      <w:color w:val="auto"/>
    </w:rPr>
  </w:style>
  <w:style w:type="character" w:customStyle="1" w:styleId="IP">
    <w:name w:val="IP"/>
    <w:rsid w:val="00E0209F"/>
    <w:rPr>
      <w:rFonts w:cs="Times New Roman"/>
      <w:color w:val="auto"/>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sz w:val="16"/>
      <w:szCs w:val="16"/>
      <w:lang w:val="x-none" w:eastAsia="x-none"/>
    </w:rPr>
  </w:style>
  <w:style w:type="character" w:customStyle="1" w:styleId="DocumentMapChar">
    <w:name w:val="Document Map Char"/>
    <w:link w:val="DocumentMap"/>
    <w:rsid w:val="009F03AC"/>
    <w:rPr>
      <w:rFonts w:ascii="Tahoma" w:hAnsi="Tahoma" w:cs="Tahoma"/>
      <w:sz w:val="16"/>
      <w:szCs w:val="16"/>
    </w:rPr>
  </w:style>
  <w:style w:type="paragraph" w:customStyle="1" w:styleId="CMTGreen">
    <w:name w:val="CMTGreen"/>
    <w:basedOn w:val="CMT"/>
    <w:qFormat/>
    <w:rsid w:val="002D1947"/>
    <w:pPr>
      <w:spacing w:before="120"/>
    </w:pPr>
  </w:style>
  <w:style w:type="character" w:customStyle="1" w:styleId="PR1Char">
    <w:name w:val="PR1 Char"/>
    <w:link w:val="PR1"/>
    <w:locked/>
    <w:rsid w:val="00360C79"/>
    <w:rPr>
      <w:rFonts w:ascii="Arial" w:hAnsi="Arial"/>
      <w:lang w:val="x-none" w:eastAsia="x-none"/>
    </w:rPr>
  </w:style>
  <w:style w:type="paragraph" w:customStyle="1" w:styleId="PR4">
    <w:name w:val="PR4"/>
    <w:basedOn w:val="Normal"/>
    <w:autoRedefine/>
    <w:rsid w:val="001A6A4B"/>
    <w:pPr>
      <w:numPr>
        <w:numId w:val="30"/>
      </w:numPr>
      <w:tabs>
        <w:tab w:val="left" w:pos="2160"/>
        <w:tab w:val="left" w:pos="2430"/>
      </w:tabs>
      <w:ind w:hanging="720"/>
      <w:outlineLvl w:val="5"/>
    </w:pPr>
    <w:rPr>
      <w:b/>
    </w:rPr>
  </w:style>
  <w:style w:type="character" w:customStyle="1" w:styleId="PR2Char">
    <w:name w:val="PR2 Char"/>
    <w:link w:val="PR2"/>
    <w:locked/>
    <w:rsid w:val="00360C79"/>
    <w:rPr>
      <w:rFonts w:ascii="Arial" w:hAnsi="Arial"/>
    </w:rPr>
  </w:style>
  <w:style w:type="character" w:styleId="CommentReference">
    <w:name w:val="annotation reference"/>
    <w:rsid w:val="002A5B79"/>
    <w:rPr>
      <w:sz w:val="16"/>
      <w:szCs w:val="16"/>
    </w:rPr>
  </w:style>
  <w:style w:type="paragraph" w:styleId="CommentText">
    <w:name w:val="annotation text"/>
    <w:basedOn w:val="Normal"/>
    <w:link w:val="CommentTextChar"/>
    <w:rsid w:val="002A5B79"/>
    <w:rPr>
      <w:lang w:val="x-none" w:eastAsia="x-none"/>
    </w:rPr>
  </w:style>
  <w:style w:type="character" w:customStyle="1" w:styleId="CommentTextChar">
    <w:name w:val="Comment Text Char"/>
    <w:link w:val="CommentText"/>
    <w:rsid w:val="002A5B79"/>
    <w:rPr>
      <w:rFonts w:ascii="Arial" w:hAnsi="Arial"/>
    </w:rPr>
  </w:style>
  <w:style w:type="paragraph" w:styleId="CommentSubject">
    <w:name w:val="annotation subject"/>
    <w:basedOn w:val="CommentText"/>
    <w:next w:val="CommentText"/>
    <w:link w:val="CommentSubjectChar"/>
    <w:rsid w:val="002A5B79"/>
    <w:rPr>
      <w:b/>
      <w:bCs/>
    </w:rPr>
  </w:style>
  <w:style w:type="character" w:customStyle="1" w:styleId="CommentSubjectChar">
    <w:name w:val="Comment Subject Char"/>
    <w:link w:val="CommentSubject"/>
    <w:rsid w:val="002A5B79"/>
    <w:rPr>
      <w:rFonts w:ascii="Arial" w:hAnsi="Arial"/>
      <w:b/>
      <w:bCs/>
    </w:rPr>
  </w:style>
  <w:style w:type="paragraph" w:customStyle="1" w:styleId="TXT">
    <w:name w:val="TXT"/>
    <w:basedOn w:val="Normal"/>
    <w:rsid w:val="00320E2E"/>
    <w:pPr>
      <w:ind w:left="230"/>
    </w:pPr>
    <w:rPr>
      <w:rFonts w:ascii="Courier New" w:hAnsi="Courier New"/>
    </w:rPr>
  </w:style>
  <w:style w:type="paragraph" w:customStyle="1" w:styleId="SUT">
    <w:name w:val="SUT"/>
    <w:basedOn w:val="Normal"/>
    <w:next w:val="PR1"/>
    <w:rsid w:val="00BE2D03"/>
    <w:pPr>
      <w:suppressAutoHyphens/>
      <w:spacing w:before="240"/>
      <w:jc w:val="both"/>
      <w:outlineLvl w:val="0"/>
    </w:pPr>
    <w:rPr>
      <w:rFonts w:ascii="Times New Roman" w:hAnsi="Times New Roman"/>
      <w:sz w:val="22"/>
    </w:rPr>
  </w:style>
  <w:style w:type="paragraph" w:customStyle="1" w:styleId="DST">
    <w:name w:val="DST"/>
    <w:basedOn w:val="Normal"/>
    <w:next w:val="PR1"/>
    <w:rsid w:val="00BE2D03"/>
    <w:pPr>
      <w:suppressAutoHyphens/>
      <w:spacing w:before="240"/>
      <w:jc w:val="both"/>
      <w:outlineLvl w:val="0"/>
    </w:pPr>
    <w:rPr>
      <w:rFonts w:ascii="Times New Roman" w:hAnsi="Times New Roman"/>
      <w:sz w:val="22"/>
    </w:rPr>
  </w:style>
  <w:style w:type="paragraph" w:customStyle="1" w:styleId="PR5">
    <w:name w:val="PR5"/>
    <w:basedOn w:val="Normal"/>
    <w:rsid w:val="00BE2D03"/>
    <w:pPr>
      <w:tabs>
        <w:tab w:val="left" w:pos="3168"/>
      </w:tabs>
      <w:suppressAutoHyphens/>
      <w:ind w:left="3168" w:hanging="576"/>
      <w:jc w:val="both"/>
      <w:outlineLvl w:val="6"/>
    </w:pPr>
    <w:rPr>
      <w:rFonts w:ascii="Times New Roman" w:hAnsi="Times New Roman"/>
      <w:sz w:val="22"/>
    </w:rPr>
  </w:style>
  <w:style w:type="character" w:customStyle="1" w:styleId="NUM">
    <w:name w:val="NUM"/>
    <w:rsid w:val="00BE2D03"/>
    <w:rPr>
      <w:rFonts w:cs="Times New Roman"/>
    </w:rPr>
  </w:style>
  <w:style w:type="character" w:customStyle="1" w:styleId="NAM">
    <w:name w:val="NAM"/>
    <w:rsid w:val="00BE2D03"/>
    <w:rPr>
      <w:rFonts w:cs="Times New Roman"/>
    </w:rPr>
  </w:style>
  <w:style w:type="paragraph" w:customStyle="1" w:styleId="ARCATPart">
    <w:name w:val="ARCAT Part"/>
    <w:basedOn w:val="Normal"/>
    <w:next w:val="Normal"/>
    <w:autoRedefine/>
    <w:rsid w:val="00D3198D"/>
    <w:pPr>
      <w:numPr>
        <w:numId w:val="2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color w:val="000000"/>
    </w:rPr>
  </w:style>
  <w:style w:type="paragraph" w:customStyle="1" w:styleId="ARCATArticle">
    <w:name w:val="ARCAT Article"/>
    <w:basedOn w:val="ARCATPart"/>
    <w:autoRedefine/>
    <w:rsid w:val="00D3198D"/>
    <w:pPr>
      <w:numPr>
        <w:ilvl w:val="1"/>
      </w:numPr>
      <w:tabs>
        <w:tab w:val="left" w:pos="234"/>
      </w:tabs>
    </w:pPr>
  </w:style>
  <w:style w:type="paragraph" w:customStyle="1" w:styleId="ARCATParagraph">
    <w:name w:val="ARCAT Paragraph"/>
    <w:basedOn w:val="ARCATArticle"/>
    <w:autoRedefine/>
    <w:rsid w:val="00D3198D"/>
    <w:pPr>
      <w:numPr>
        <w:ilvl w:val="2"/>
      </w:numPr>
    </w:pPr>
  </w:style>
  <w:style w:type="paragraph" w:customStyle="1" w:styleId="ARCATSubPara">
    <w:name w:val="ARCAT SubPara"/>
    <w:basedOn w:val="ARCATParagraph"/>
    <w:autoRedefine/>
    <w:rsid w:val="00D3198D"/>
    <w:pPr>
      <w:numPr>
        <w:ilvl w:val="3"/>
      </w:numPr>
      <w:tabs>
        <w:tab w:val="left" w:pos="1152"/>
      </w:tabs>
    </w:pPr>
  </w:style>
  <w:style w:type="paragraph" w:customStyle="1" w:styleId="ARCATSubSub1">
    <w:name w:val="ARCAT SubSub1"/>
    <w:basedOn w:val="ARCATSubPara"/>
    <w:autoRedefine/>
    <w:rsid w:val="00D3198D"/>
    <w:pPr>
      <w:numPr>
        <w:ilvl w:val="4"/>
      </w:numPr>
    </w:pPr>
  </w:style>
  <w:style w:type="paragraph" w:customStyle="1" w:styleId="ARCATSubSub2">
    <w:name w:val="ARCAT SubSub2"/>
    <w:basedOn w:val="ARCATSubSub1"/>
    <w:autoRedefine/>
    <w:rsid w:val="00D3198D"/>
    <w:pPr>
      <w:numPr>
        <w:ilvl w:val="5"/>
      </w:numPr>
    </w:pPr>
  </w:style>
  <w:style w:type="paragraph" w:customStyle="1" w:styleId="ARCATSubSub3">
    <w:name w:val="ARCAT SubSub3"/>
    <w:basedOn w:val="ARCATSubSub2"/>
    <w:autoRedefine/>
    <w:rsid w:val="00D3198D"/>
    <w:pPr>
      <w:numPr>
        <w:ilvl w:val="6"/>
      </w:numPr>
    </w:pPr>
  </w:style>
  <w:style w:type="paragraph" w:customStyle="1" w:styleId="ARCATSubSub4">
    <w:name w:val="ARCAT SubSub4"/>
    <w:basedOn w:val="ARCATSubSub3"/>
    <w:autoRedefine/>
    <w:rsid w:val="00D3198D"/>
    <w:pPr>
      <w:numPr>
        <w:ilvl w:val="7"/>
      </w:numPr>
    </w:pPr>
  </w:style>
  <w:style w:type="paragraph" w:customStyle="1" w:styleId="ARCATSubSub5">
    <w:name w:val="ARCAT SubSub5"/>
    <w:basedOn w:val="ARCATSubSub4"/>
    <w:autoRedefine/>
    <w:rsid w:val="00D3198D"/>
    <w:pPr>
      <w:numPr>
        <w:ilvl w:val="8"/>
      </w:numPr>
    </w:pPr>
  </w:style>
  <w:style w:type="character" w:customStyle="1" w:styleId="PR3Char">
    <w:name w:val="PR3 Char"/>
    <w:link w:val="PR3"/>
    <w:rsid w:val="0029563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pecnow@dorma.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dormakab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s://www.dormakaba.com/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vitar\Desktop\Masters\Revolvers\Master_DORMA%20084233%2003%20REVOLVING%20DOOR%20ENTRANC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f667bdd-c545-4829-8621-3d7291bb8f24" xsi:nil="true"/>
    <UnilyIsTemplate xmlns="3f667bdd-c545-4829-8621-3d7291bb8f24" xsi:nil="true"/>
    <g4b873be4c8446b4bb246f17bf3ea522 xmlns="3f667bdd-c545-4829-8621-3d7291bb8f24">
      <Terms xmlns="http://schemas.microsoft.com/office/infopath/2007/PartnerControls"/>
    </g4b873be4c8446b4bb246f17bf3ea522>
    <UnilyIsFeaturedDocument xmlns="3f667bdd-c545-4829-8621-3d7291bb8f24" xsi:nil="true"/>
    <CompleteforPrinting xmlns="86478785-1c2e-4347-afe2-34f515586d4e">false</CompleteforPrinting>
    <lcf76f155ced4ddcb4097134ff3c332f xmlns="86478785-1c2e-4347-afe2-34f515586d4e">
      <Terms xmlns="http://schemas.microsoft.com/office/infopath/2007/PartnerControls"/>
    </lcf76f155ced4ddcb4097134ff3c332f>
    <DocumentName xmlns="86478785-1c2e-4347-afe2-34f515586d4e" xsi:nil="true"/>
    <Don xmlns="86478785-1c2e-4347-afe2-34f515586d4e">Needs Work</Don>
    <Done xmlns="86478785-1c2e-4347-afe2-34f515586d4e">true</Don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A6C1B667C7F140A39F9110E3D45F31" ma:contentTypeVersion="10" ma:contentTypeDescription="Create a new document." ma:contentTypeScope="" ma:versionID="055253172b2dfa027fba469b853b0da1">
  <xsd:schema xmlns:xsd="http://www.w3.org/2001/XMLSchema" xmlns:xs="http://www.w3.org/2001/XMLSchema" xmlns:p="http://schemas.microsoft.com/office/2006/metadata/properties" xmlns:ns2="3f667bdd-c545-4829-8621-3d7291bb8f24" xmlns:ns3="86478785-1c2e-4347-afe2-34f515586d4e" targetNamespace="http://schemas.microsoft.com/office/2006/metadata/properties" ma:root="true" ma:fieldsID="8b6302f07c595ee5de05257e3ec307d5" ns2:_="" ns3:_="">
    <xsd:import namespace="3f667bdd-c545-4829-8621-3d7291bb8f24"/>
    <xsd:import namespace="86478785-1c2e-4347-afe2-34f515586d4e"/>
    <xsd:element name="properties">
      <xsd:complexType>
        <xsd:sequence>
          <xsd:element name="documentManagement">
            <xsd:complexType>
              <xsd:all>
                <xsd:element ref="ns2:UnilyIsFeaturedDocument" minOccurs="0"/>
                <xsd:element ref="ns2:UnilyIsTemplate" minOccurs="0"/>
                <xsd:element ref="ns3:CompleteforPrinting" minOccurs="0"/>
                <xsd:element ref="ns2:g4b873be4c8446b4bb246f17bf3ea522" minOccurs="0"/>
                <xsd:element ref="ns2:TaxCatchAll" minOccurs="0"/>
                <xsd:element ref="ns2:TaxCatchAllLabel"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Done" minOccurs="0"/>
                <xsd:element ref="ns3:Don" minOccurs="0"/>
                <xsd:element ref="ns3:lcf76f155ced4ddcb4097134ff3c332f" minOccurs="0"/>
                <xsd:element ref="ns3:Documen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67bdd-c545-4829-8621-3d7291bb8f24" elementFormDefault="qualified">
    <xsd:import namespace="http://schemas.microsoft.com/office/2006/documentManagement/types"/>
    <xsd:import namespace="http://schemas.microsoft.com/office/infopath/2007/PartnerControls"/>
    <xsd:element name="UnilyIsFeaturedDocument" ma:index="2" nillable="true" ma:displayName="Is Featured Document" ma:internalName="UnilyIsFeaturedDocument" ma:readOnly="false">
      <xsd:simpleType>
        <xsd:restriction base="dms:Boolean"/>
      </xsd:simpleType>
    </xsd:element>
    <xsd:element name="UnilyIsTemplate" ma:index="3" nillable="true" ma:displayName="Is Template" ma:internalName="UnilyIsTemplate" ma:readOnly="false">
      <xsd:simpleType>
        <xsd:restriction base="dms:Boolean"/>
      </xsd:simpleType>
    </xsd:element>
    <xsd:element name="g4b873be4c8446b4bb246f17bf3ea522" ma:index="10" nillable="true" ma:taxonomy="true" ma:internalName="g4b873be4c8446b4bb246f17bf3ea522" ma:taxonomyFieldName="UnilyDocumentCategory" ma:displayName="Document Category" ma:readOnly="false" ma:fieldId="{04b873be-4c84-46b4-bb24-6f17bf3ea522}" ma:taxonomyMulti="true" ma:sspId="4235a7ec-bee8-4e74-9be9-a3ba10f91c37" ma:termSetId="633af56e-6d1c-4571-8c94-4724d908b39c"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7f3521c4-c610-407f-8c32-045663caf3be}" ma:internalName="TaxCatchAll" ma:readOnly="false" ma:showField="CatchAllData" ma:web="3f667bdd-c545-4829-8621-3d7291bb8f24">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7f3521c4-c610-407f-8c32-045663caf3be}" ma:internalName="TaxCatchAllLabel" ma:readOnly="true" ma:showField="CatchAllDataLabel" ma:web="3f667bdd-c545-4829-8621-3d7291bb8f24">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478785-1c2e-4347-afe2-34f515586d4e" elementFormDefault="qualified">
    <xsd:import namespace="http://schemas.microsoft.com/office/2006/documentManagement/types"/>
    <xsd:import namespace="http://schemas.microsoft.com/office/infopath/2007/PartnerControls"/>
    <xsd:element name="CompleteforPrinting" ma:index="5" nillable="true" ma:displayName="Complete for Printing" ma:default="0" ma:format="Dropdown" ma:internalName="CompleteforPrinting" ma:readOnly="false">
      <xsd:simpleType>
        <xsd:restriction base="dms:Boolea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hidden="true" ma:internalName="MediaServiceAutoTags" ma:readOnly="true">
      <xsd:simpleType>
        <xsd:restriction base="dms:Text"/>
      </xsd:simpleType>
    </xsd:element>
    <xsd:element name="MediaServiceOCR" ma:index="20" nillable="true" ma:displayName="MediaServiceOCR" ma:hidden="true" ma:internalName="MediaServiceOCR" ma:readOnly="true">
      <xsd:simpleType>
        <xsd:restriction base="dms:Note"/>
      </xsd:simpleType>
    </xsd:element>
    <xsd:element name="MediaServiceLocation" ma:index="21" nillable="true" ma:displayName="MediaServiceLocation" ma:hidden="true"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hidden="true" ma:internalName="MediaServiceKeyPoints" ma:readOnly="true">
      <xsd:simpleType>
        <xsd:restriction base="dms:Note"/>
      </xsd:simpleType>
    </xsd:element>
    <xsd:element name="MediaLengthInSeconds" ma:index="26" nillable="true" ma:displayName="Length (seconds)" ma:hidden="true" ma:internalName="MediaLengthInSeconds" ma:readOnly="true">
      <xsd:simpleType>
        <xsd:restriction base="dms:Unknown"/>
      </xsd:simpleType>
    </xsd:element>
    <xsd:element name="Done" ma:index="28" nillable="true" ma:displayName="Done" ma:default="1" ma:internalName="Done">
      <xsd:simpleType>
        <xsd:restriction base="dms:Boolean"/>
      </xsd:simpleType>
    </xsd:element>
    <xsd:element name="Don" ma:index="29" nillable="true" ma:displayName="Ready for FedEx" ma:default="Needs Work" ma:format="Dropdown" ma:internalName="Don">
      <xsd:simpleType>
        <xsd:restriction base="dms:Choice">
          <xsd:enumeration value="Finished"/>
          <xsd:enumeration value="Needs Work"/>
        </xsd:restrictio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4235a7ec-bee8-4e74-9be9-a3ba10f91c37" ma:termSetId="09814cd3-568e-fe90-9814-8d621ff8fb84" ma:anchorId="fba54fb3-c3e1-fe81-a776-ca4b69148c4d" ma:open="true" ma:isKeyword="false">
      <xsd:complexType>
        <xsd:sequence>
          <xsd:element ref="pc:Terms" minOccurs="0" maxOccurs="1"/>
        </xsd:sequence>
      </xsd:complexType>
    </xsd:element>
    <xsd:element name="DocumentName" ma:index="32" nillable="true" ma:displayName="Document Name" ma:format="Dropdown" ma:internalName="Document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DD3C9-05FE-487A-AD61-846DFA914F1B}">
  <ds:schemaRefs>
    <ds:schemaRef ds:uri="http://schemas.microsoft.com/office/2006/metadata/properties"/>
    <ds:schemaRef ds:uri="http://schemas.microsoft.com/office/infopath/2007/PartnerControls"/>
    <ds:schemaRef ds:uri="3f667bdd-c545-4829-8621-3d7291bb8f24"/>
  </ds:schemaRefs>
</ds:datastoreItem>
</file>

<file path=customXml/itemProps2.xml><?xml version="1.0" encoding="utf-8"?>
<ds:datastoreItem xmlns:ds="http://schemas.openxmlformats.org/officeDocument/2006/customXml" ds:itemID="{6C7BAFEB-D852-4891-A1EC-7B5E0448B91B}">
  <ds:schemaRefs>
    <ds:schemaRef ds:uri="http://schemas.microsoft.com/sharepoint/v3/contenttype/forms"/>
  </ds:schemaRefs>
</ds:datastoreItem>
</file>

<file path=customXml/itemProps3.xml><?xml version="1.0" encoding="utf-8"?>
<ds:datastoreItem xmlns:ds="http://schemas.openxmlformats.org/officeDocument/2006/customXml" ds:itemID="{05F93E59-33DE-4C05-B170-64D5E8456B5A}"/>
</file>

<file path=customXml/itemProps4.xml><?xml version="1.0" encoding="utf-8"?>
<ds:datastoreItem xmlns:ds="http://schemas.openxmlformats.org/officeDocument/2006/customXml" ds:itemID="{B7C45C67-77AB-43D7-806E-7DD740F9ED92}">
  <ds:schemaRefs>
    <ds:schemaRef ds:uri="http://schemas.openxmlformats.org/officeDocument/2006/bibliography"/>
  </ds:schemaRefs>
</ds:datastoreItem>
</file>

<file path=customXml/itemProps5.xml><?xml version="1.0" encoding="utf-8"?>
<ds:datastoreItem xmlns:ds="http://schemas.openxmlformats.org/officeDocument/2006/customXml" ds:itemID="{0FDEDD26-9063-47F0-A420-3DE5883D2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Master_DORMA 084233 03 REVOLVING DOOR ENTRANCES.dot</Template>
  <TotalTime>10</TotalTime>
  <Pages>10</Pages>
  <Words>3298</Words>
  <Characters>18799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SECTION 084229 – SLIDING AUTOMATIC ENTRANCES</vt:lpstr>
    </vt:vector>
  </TitlesOfParts>
  <Company>dorma</Company>
  <LinksUpToDate>false</LinksUpToDate>
  <CharactersWithSpaces>22053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084229 – SLIDING AUTOMATIC ENTRANCES</dc:title>
  <dc:subject>SLIDING AUTOMATIC ENTRANCES</dc:subject>
  <dc:creator>Arnold Kravitz</dc:creator>
  <dc:description>DORMA Crane Series</dc:description>
  <cp:lastModifiedBy>Avinash Sonar</cp:lastModifiedBy>
  <cp:revision>9</cp:revision>
  <cp:lastPrinted>2013-03-08T14:28:00Z</cp:lastPrinted>
  <dcterms:created xsi:type="dcterms:W3CDTF">2018-09-04T18:45:00Z</dcterms:created>
  <dcterms:modified xsi:type="dcterms:W3CDTF">2022-08-19T11:38:00Z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0x0101003DA6C1B667C7F140A39F9110E3D45F31</vt:lpwstr>
  </property>
  <property fmtid="{D5CDD505-2E9C-101B-9397-08002B2CF9AE}" pid="3" name="Owner">
    <vt:lpwstr>DORMA-USA,Inc.</vt:lpwstr>
  </property>
  <property fmtid="{D5CDD505-2E9C-101B-9397-08002B2CF9AE}" pid="4" name="Publisher">
    <vt:lpwstr>SpecGuy</vt:lpwstr>
  </property>
  <property fmtid="{D5CDD505-2E9C-101B-9397-08002B2CF9AE}" pid="5" name="UnilyDocumentCategory">
    <vt:lpwstr/>
  </property>
</Properties>
</file>